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3B6" w:rsidRDefault="002D07F2" w:rsidP="002D07F2">
      <w:pPr>
        <w:jc w:val="center"/>
        <w:rPr>
          <w:b/>
          <w:sz w:val="28"/>
          <w:szCs w:val="28"/>
        </w:rPr>
      </w:pPr>
      <w:r>
        <w:rPr>
          <w:b/>
          <w:sz w:val="28"/>
          <w:szCs w:val="28"/>
        </w:rPr>
        <w:t>Telcoe Federal Credit Union</w:t>
      </w:r>
    </w:p>
    <w:p w:rsidR="002D07F2" w:rsidRDefault="002D07F2" w:rsidP="002D07F2">
      <w:pPr>
        <w:jc w:val="center"/>
        <w:rPr>
          <w:b/>
          <w:sz w:val="28"/>
          <w:szCs w:val="28"/>
        </w:rPr>
      </w:pPr>
      <w:r>
        <w:rPr>
          <w:b/>
          <w:sz w:val="28"/>
          <w:szCs w:val="28"/>
        </w:rPr>
        <w:t>Concentration Risk Policy</w:t>
      </w:r>
    </w:p>
    <w:p w:rsidR="002D07F2" w:rsidRDefault="002D07F2" w:rsidP="002D07F2">
      <w:pPr>
        <w:jc w:val="center"/>
        <w:rPr>
          <w:b/>
          <w:sz w:val="28"/>
          <w:szCs w:val="28"/>
        </w:rPr>
      </w:pPr>
    </w:p>
    <w:p w:rsidR="002D07F2" w:rsidRDefault="002D07F2" w:rsidP="002D07F2">
      <w:pPr>
        <w:rPr>
          <w:b/>
          <w:sz w:val="28"/>
          <w:szCs w:val="28"/>
        </w:rPr>
      </w:pPr>
    </w:p>
    <w:p w:rsidR="002D07F2" w:rsidRDefault="002D07F2" w:rsidP="002D07F2">
      <w:pPr>
        <w:rPr>
          <w:b/>
          <w:sz w:val="28"/>
          <w:szCs w:val="28"/>
        </w:rPr>
      </w:pPr>
      <w:r w:rsidRPr="002D07F2">
        <w:rPr>
          <w:b/>
          <w:sz w:val="28"/>
          <w:szCs w:val="28"/>
        </w:rPr>
        <w:t>Purpose</w:t>
      </w:r>
    </w:p>
    <w:p w:rsidR="002D07F2" w:rsidRDefault="002D07F2" w:rsidP="002D07F2">
      <w:pPr>
        <w:rPr>
          <w:b/>
          <w:sz w:val="28"/>
          <w:szCs w:val="28"/>
        </w:rPr>
      </w:pPr>
    </w:p>
    <w:p w:rsidR="002D07F2" w:rsidRDefault="002D07F2" w:rsidP="002D07F2">
      <w:pPr>
        <w:rPr>
          <w:sz w:val="28"/>
          <w:szCs w:val="28"/>
        </w:rPr>
      </w:pPr>
      <w:r>
        <w:rPr>
          <w:sz w:val="28"/>
          <w:szCs w:val="28"/>
        </w:rPr>
        <w:t>The purpose of this policy is to document TFCU’s philoso</w:t>
      </w:r>
      <w:r w:rsidR="0030747E">
        <w:rPr>
          <w:sz w:val="28"/>
          <w:szCs w:val="28"/>
        </w:rPr>
        <w:t xml:space="preserve">phy on risk concentrations, </w:t>
      </w:r>
      <w:r>
        <w:rPr>
          <w:sz w:val="28"/>
          <w:szCs w:val="28"/>
        </w:rPr>
        <w:t>establish policy authorities related to managing risk concentrations</w:t>
      </w:r>
      <w:r w:rsidR="0030747E">
        <w:rPr>
          <w:sz w:val="28"/>
          <w:szCs w:val="28"/>
        </w:rPr>
        <w:t>, and summarize concentration limits</w:t>
      </w:r>
      <w:r>
        <w:rPr>
          <w:sz w:val="28"/>
          <w:szCs w:val="28"/>
        </w:rPr>
        <w:t>.</w:t>
      </w:r>
    </w:p>
    <w:p w:rsidR="002D07F2" w:rsidRDefault="002D07F2" w:rsidP="002D07F2">
      <w:pPr>
        <w:rPr>
          <w:sz w:val="28"/>
          <w:szCs w:val="28"/>
        </w:rPr>
      </w:pPr>
    </w:p>
    <w:p w:rsidR="002D07F2" w:rsidRDefault="002D07F2" w:rsidP="002D07F2">
      <w:pPr>
        <w:rPr>
          <w:sz w:val="28"/>
          <w:szCs w:val="28"/>
        </w:rPr>
      </w:pPr>
      <w:r>
        <w:rPr>
          <w:sz w:val="28"/>
          <w:szCs w:val="28"/>
        </w:rPr>
        <w:t>Concentration risk is defined as any single exposure or group of exposures with the potential to produce losses large enough (relative to capital, total assets, or overall risk level) to threaten a financial institution’s health or ability to maintain its core operations.</w:t>
      </w:r>
    </w:p>
    <w:p w:rsidR="002D07F2" w:rsidRDefault="002D07F2" w:rsidP="002D07F2">
      <w:pPr>
        <w:rPr>
          <w:sz w:val="28"/>
          <w:szCs w:val="28"/>
        </w:rPr>
      </w:pPr>
    </w:p>
    <w:p w:rsidR="002D07F2" w:rsidRDefault="002D07F2" w:rsidP="002D07F2">
      <w:pPr>
        <w:rPr>
          <w:sz w:val="28"/>
          <w:szCs w:val="28"/>
        </w:rPr>
      </w:pPr>
    </w:p>
    <w:p w:rsidR="002D07F2" w:rsidRDefault="002D07F2" w:rsidP="002D07F2">
      <w:pPr>
        <w:rPr>
          <w:b/>
          <w:sz w:val="28"/>
          <w:szCs w:val="28"/>
        </w:rPr>
      </w:pPr>
      <w:r>
        <w:rPr>
          <w:b/>
          <w:sz w:val="28"/>
          <w:szCs w:val="28"/>
        </w:rPr>
        <w:t>Philosophy</w:t>
      </w:r>
    </w:p>
    <w:p w:rsidR="002D07F2" w:rsidRDefault="002D07F2" w:rsidP="002D07F2">
      <w:pPr>
        <w:rPr>
          <w:b/>
          <w:sz w:val="28"/>
          <w:szCs w:val="28"/>
        </w:rPr>
      </w:pPr>
    </w:p>
    <w:p w:rsidR="002D07F2" w:rsidRDefault="00792424" w:rsidP="002D07F2">
      <w:pPr>
        <w:rPr>
          <w:sz w:val="28"/>
          <w:szCs w:val="28"/>
        </w:rPr>
      </w:pPr>
      <w:r>
        <w:rPr>
          <w:sz w:val="28"/>
          <w:szCs w:val="28"/>
        </w:rPr>
        <w:t xml:space="preserve">Quantifying and managing aggregate risks is the foundation for managing concentration risks.  Ensuring that TFCU has sufficient capital to accommodate aggregate risks, including risks stemming from concentrations, is the most important component of an effective risk management process.  Quarterly, aggregate risks to net worth are quantified including internal measurement of concentration limits, and third party measurement of risks associated </w:t>
      </w:r>
      <w:r w:rsidR="0030747E">
        <w:rPr>
          <w:sz w:val="28"/>
          <w:szCs w:val="28"/>
        </w:rPr>
        <w:t>with i</w:t>
      </w:r>
      <w:r>
        <w:rPr>
          <w:sz w:val="28"/>
          <w:szCs w:val="28"/>
        </w:rPr>
        <w:t>nterest rate and liquidity.   This dual process incorporates the entire financial structure, including balance sheet concentrations.  The quarterly review is designed to be proactive so that potential changes in the balance sheet are identified and tested in advance to ensure aggregate risks do not exceed net worth available to absorb risks.</w:t>
      </w:r>
    </w:p>
    <w:p w:rsidR="0030747E" w:rsidRDefault="0030747E" w:rsidP="002D07F2">
      <w:pPr>
        <w:rPr>
          <w:sz w:val="28"/>
          <w:szCs w:val="28"/>
        </w:rPr>
      </w:pPr>
    </w:p>
    <w:p w:rsidR="0035207E" w:rsidRDefault="0030747E" w:rsidP="002D07F2">
      <w:pPr>
        <w:rPr>
          <w:sz w:val="28"/>
          <w:szCs w:val="28"/>
        </w:rPr>
      </w:pPr>
      <w:r>
        <w:rPr>
          <w:sz w:val="28"/>
          <w:szCs w:val="28"/>
        </w:rPr>
        <w:t xml:space="preserve">Quality underwriting </w:t>
      </w:r>
      <w:r w:rsidR="0035207E">
        <w:rPr>
          <w:sz w:val="28"/>
          <w:szCs w:val="28"/>
        </w:rPr>
        <w:t>at the individual loan level de</w:t>
      </w:r>
      <w:r>
        <w:rPr>
          <w:sz w:val="28"/>
          <w:szCs w:val="28"/>
        </w:rPr>
        <w:t xml:space="preserve">creases the credit risk exposure from concentrations of loans.  Low loan loss experience for TFCU, even during difficult economic times, indicates that the underwriting standards in practice have a material impact on </w:t>
      </w:r>
      <w:r w:rsidR="0035207E">
        <w:rPr>
          <w:sz w:val="28"/>
          <w:szCs w:val="28"/>
        </w:rPr>
        <w:t>credit quality</w:t>
      </w:r>
      <w:r>
        <w:rPr>
          <w:sz w:val="28"/>
          <w:szCs w:val="28"/>
        </w:rPr>
        <w:t xml:space="preserve">.  A key to minimizing </w:t>
      </w:r>
      <w:r w:rsidR="0035207E">
        <w:rPr>
          <w:sz w:val="28"/>
          <w:szCs w:val="28"/>
        </w:rPr>
        <w:t xml:space="preserve">credit exposure from a concentration or group of loans is to continue to ensure effective underwriting occurs.  </w:t>
      </w:r>
    </w:p>
    <w:p w:rsidR="0035207E" w:rsidRDefault="0035207E" w:rsidP="002D07F2">
      <w:pPr>
        <w:rPr>
          <w:sz w:val="28"/>
          <w:szCs w:val="28"/>
        </w:rPr>
      </w:pPr>
      <w:r>
        <w:rPr>
          <w:sz w:val="28"/>
          <w:szCs w:val="28"/>
        </w:rPr>
        <w:lastRenderedPageBreak/>
        <w:t>The investment portfolio further constrains credit exposure by restricting investment activities to only those instruments that posses</w:t>
      </w:r>
      <w:r w:rsidR="008E0046">
        <w:rPr>
          <w:sz w:val="28"/>
          <w:szCs w:val="28"/>
        </w:rPr>
        <w:t>s little or no credit risk; i.e.</w:t>
      </w:r>
      <w:r w:rsidR="007D362E">
        <w:rPr>
          <w:sz w:val="28"/>
          <w:szCs w:val="28"/>
        </w:rPr>
        <w:t>, limiting</w:t>
      </w:r>
      <w:r>
        <w:rPr>
          <w:sz w:val="28"/>
          <w:szCs w:val="28"/>
        </w:rPr>
        <w:t xml:space="preserve"> private label </w:t>
      </w:r>
      <w:r w:rsidR="008E0046">
        <w:rPr>
          <w:sz w:val="28"/>
          <w:szCs w:val="28"/>
        </w:rPr>
        <w:t xml:space="preserve">and uninsured </w:t>
      </w:r>
      <w:r>
        <w:rPr>
          <w:sz w:val="28"/>
          <w:szCs w:val="28"/>
        </w:rPr>
        <w:t xml:space="preserve">securities.  </w:t>
      </w:r>
    </w:p>
    <w:p w:rsidR="008E0046" w:rsidRDefault="008E0046" w:rsidP="002D07F2">
      <w:pPr>
        <w:rPr>
          <w:sz w:val="28"/>
          <w:szCs w:val="28"/>
        </w:rPr>
      </w:pPr>
    </w:p>
    <w:p w:rsidR="008E0046" w:rsidRDefault="008E0046" w:rsidP="002D07F2">
      <w:pPr>
        <w:rPr>
          <w:sz w:val="28"/>
          <w:szCs w:val="28"/>
        </w:rPr>
      </w:pPr>
      <w:r>
        <w:rPr>
          <w:sz w:val="28"/>
          <w:szCs w:val="28"/>
        </w:rPr>
        <w:t>Interest rate risk is limited by guidelines set forth in the ALM Policy</w:t>
      </w:r>
      <w:r w:rsidR="00A23857">
        <w:rPr>
          <w:sz w:val="28"/>
          <w:szCs w:val="28"/>
        </w:rPr>
        <w:t xml:space="preserve">, which include simulation testing requirements and acceptable limits for NEV and NII.   Assets with </w:t>
      </w:r>
      <w:r w:rsidR="007D362E">
        <w:rPr>
          <w:sz w:val="28"/>
          <w:szCs w:val="28"/>
        </w:rPr>
        <w:t>maturities</w:t>
      </w:r>
      <w:r w:rsidR="00A23857">
        <w:rPr>
          <w:sz w:val="28"/>
          <w:szCs w:val="28"/>
        </w:rPr>
        <w:t xml:space="preserve"> greater than 3 years are monitored internally by pricing and maturity reports quarterly.  Furthermore, a relationship to sell mortgages on the secondary market is established and will be used to limit long term mortgages and provide liquidity.</w:t>
      </w:r>
    </w:p>
    <w:p w:rsidR="00A23857" w:rsidRDefault="00A23857" w:rsidP="002D07F2">
      <w:pPr>
        <w:rPr>
          <w:sz w:val="28"/>
          <w:szCs w:val="28"/>
        </w:rPr>
      </w:pPr>
    </w:p>
    <w:p w:rsidR="00A23857" w:rsidRDefault="00A23857" w:rsidP="002D07F2">
      <w:pPr>
        <w:rPr>
          <w:sz w:val="28"/>
          <w:szCs w:val="28"/>
        </w:rPr>
      </w:pPr>
      <w:r>
        <w:rPr>
          <w:sz w:val="28"/>
          <w:szCs w:val="28"/>
        </w:rPr>
        <w:t xml:space="preserve">Managing risk concentrations is a dynamic process as change is constant.  As member behavior, the economic environment, and TFCU’s balance sheet evolve, the concentration risk management process also needs to evolve.  This evolution will require monitoring the prescribed concentration limits and balance sheet mix for trends which could require modifying limits and adjusting strategic planning as needed to ensure excess risk is not incurred. </w:t>
      </w:r>
    </w:p>
    <w:p w:rsidR="00A23857" w:rsidRDefault="00A23857" w:rsidP="002D07F2">
      <w:pPr>
        <w:rPr>
          <w:sz w:val="28"/>
          <w:szCs w:val="28"/>
        </w:rPr>
      </w:pPr>
    </w:p>
    <w:p w:rsidR="00A23857" w:rsidRDefault="00A23857" w:rsidP="002D07F2">
      <w:pPr>
        <w:rPr>
          <w:sz w:val="28"/>
          <w:szCs w:val="28"/>
        </w:rPr>
      </w:pPr>
    </w:p>
    <w:p w:rsidR="00A23857" w:rsidRDefault="00A23857" w:rsidP="002D07F2">
      <w:pPr>
        <w:rPr>
          <w:b/>
          <w:sz w:val="28"/>
          <w:szCs w:val="28"/>
        </w:rPr>
      </w:pPr>
      <w:r>
        <w:rPr>
          <w:b/>
          <w:sz w:val="28"/>
          <w:szCs w:val="28"/>
        </w:rPr>
        <w:t>Responsible Parties</w:t>
      </w:r>
    </w:p>
    <w:p w:rsidR="00A23857" w:rsidRDefault="00A23857" w:rsidP="002D07F2">
      <w:pPr>
        <w:rPr>
          <w:b/>
          <w:sz w:val="28"/>
          <w:szCs w:val="28"/>
        </w:rPr>
      </w:pPr>
    </w:p>
    <w:p w:rsidR="00A23857" w:rsidRDefault="00A23857" w:rsidP="002D07F2">
      <w:pPr>
        <w:rPr>
          <w:sz w:val="28"/>
          <w:szCs w:val="28"/>
        </w:rPr>
      </w:pPr>
      <w:r>
        <w:rPr>
          <w:sz w:val="28"/>
          <w:szCs w:val="28"/>
        </w:rPr>
        <w:t>The Board of Directors has ultimate responsibility</w:t>
      </w:r>
      <w:r w:rsidR="00EF2487">
        <w:rPr>
          <w:sz w:val="28"/>
          <w:szCs w:val="28"/>
        </w:rPr>
        <w:t xml:space="preserve"> for ensuring the credit union conducts operations in a safe and sound manner.  The Board’s responsibility related to concentration risk management is as follows:</w:t>
      </w:r>
    </w:p>
    <w:p w:rsidR="00EF2487" w:rsidRDefault="00EF2487" w:rsidP="002D07F2">
      <w:pPr>
        <w:rPr>
          <w:sz w:val="28"/>
          <w:szCs w:val="28"/>
        </w:rPr>
      </w:pPr>
    </w:p>
    <w:p w:rsidR="00EF2487" w:rsidRDefault="00EF2487" w:rsidP="00EF2487">
      <w:pPr>
        <w:pStyle w:val="ListParagraph"/>
        <w:numPr>
          <w:ilvl w:val="0"/>
          <w:numId w:val="1"/>
        </w:numPr>
        <w:rPr>
          <w:sz w:val="28"/>
          <w:szCs w:val="28"/>
        </w:rPr>
      </w:pPr>
      <w:r>
        <w:rPr>
          <w:sz w:val="28"/>
          <w:szCs w:val="28"/>
        </w:rPr>
        <w:t>Review and approve the Concentration Risk Policy, including limits, periodically</w:t>
      </w:r>
    </w:p>
    <w:p w:rsidR="00EF2487" w:rsidRDefault="00EF2487" w:rsidP="00EF2487">
      <w:pPr>
        <w:pStyle w:val="ListParagraph"/>
        <w:numPr>
          <w:ilvl w:val="0"/>
          <w:numId w:val="1"/>
        </w:numPr>
        <w:rPr>
          <w:sz w:val="28"/>
          <w:szCs w:val="28"/>
        </w:rPr>
      </w:pPr>
      <w:r>
        <w:rPr>
          <w:sz w:val="28"/>
          <w:szCs w:val="28"/>
        </w:rPr>
        <w:t>Review and decide appropriate action for exceptions to policy that may occur</w:t>
      </w:r>
    </w:p>
    <w:p w:rsidR="00EF2487" w:rsidRDefault="00EF2487" w:rsidP="00EF2487">
      <w:pPr>
        <w:pStyle w:val="ListParagraph"/>
        <w:numPr>
          <w:ilvl w:val="0"/>
          <w:numId w:val="1"/>
        </w:numPr>
        <w:rPr>
          <w:sz w:val="28"/>
          <w:szCs w:val="28"/>
        </w:rPr>
      </w:pPr>
      <w:r>
        <w:rPr>
          <w:sz w:val="28"/>
          <w:szCs w:val="28"/>
        </w:rPr>
        <w:t>Review the Concentration Risk Report, which will be provided by management quarterly</w:t>
      </w:r>
    </w:p>
    <w:p w:rsidR="00EF2487" w:rsidRDefault="00EF2487" w:rsidP="00EF2487">
      <w:pPr>
        <w:pStyle w:val="ListParagraph"/>
        <w:numPr>
          <w:ilvl w:val="0"/>
          <w:numId w:val="1"/>
        </w:numPr>
        <w:rPr>
          <w:sz w:val="28"/>
          <w:szCs w:val="28"/>
        </w:rPr>
      </w:pPr>
      <w:r>
        <w:rPr>
          <w:sz w:val="28"/>
          <w:szCs w:val="28"/>
        </w:rPr>
        <w:t xml:space="preserve">Ensure </w:t>
      </w:r>
      <w:r w:rsidR="007D362E">
        <w:rPr>
          <w:sz w:val="28"/>
          <w:szCs w:val="28"/>
        </w:rPr>
        <w:t>that the Board adequately under</w:t>
      </w:r>
      <w:r>
        <w:rPr>
          <w:sz w:val="28"/>
          <w:szCs w:val="28"/>
        </w:rPr>
        <w:t>stands the activities engaged in by TFCU and the financial condition and trends in order to inquire about, debate, and decide on issues relevant to concentration risk.</w:t>
      </w:r>
    </w:p>
    <w:p w:rsidR="00EF2487" w:rsidRDefault="00EF2487" w:rsidP="00EF2487">
      <w:pPr>
        <w:pStyle w:val="ListParagraph"/>
        <w:rPr>
          <w:sz w:val="28"/>
          <w:szCs w:val="28"/>
        </w:rPr>
      </w:pPr>
    </w:p>
    <w:p w:rsidR="00EF2487" w:rsidRDefault="00EF2487" w:rsidP="00EF2487">
      <w:pPr>
        <w:pStyle w:val="ListParagraph"/>
        <w:rPr>
          <w:sz w:val="28"/>
          <w:szCs w:val="28"/>
        </w:rPr>
      </w:pPr>
    </w:p>
    <w:p w:rsidR="00EF2487" w:rsidRDefault="00EF2487" w:rsidP="00EF2487">
      <w:pPr>
        <w:jc w:val="both"/>
        <w:rPr>
          <w:sz w:val="28"/>
          <w:szCs w:val="28"/>
        </w:rPr>
      </w:pPr>
      <w:r>
        <w:rPr>
          <w:sz w:val="28"/>
          <w:szCs w:val="28"/>
        </w:rPr>
        <w:lastRenderedPageBreak/>
        <w:t>The board delegates operational authority for monitoring concentration risks to the ALCO.  It is the responsibility of ALCO to perform the following duties:</w:t>
      </w:r>
    </w:p>
    <w:p w:rsidR="00EF2487" w:rsidRDefault="00EF2487" w:rsidP="00EF2487">
      <w:pPr>
        <w:jc w:val="both"/>
        <w:rPr>
          <w:sz w:val="28"/>
          <w:szCs w:val="28"/>
        </w:rPr>
      </w:pPr>
    </w:p>
    <w:p w:rsidR="00EF2487" w:rsidRDefault="00EF2487" w:rsidP="00EF2487">
      <w:pPr>
        <w:pStyle w:val="ListParagraph"/>
        <w:numPr>
          <w:ilvl w:val="0"/>
          <w:numId w:val="2"/>
        </w:numPr>
        <w:jc w:val="both"/>
        <w:rPr>
          <w:sz w:val="28"/>
          <w:szCs w:val="28"/>
        </w:rPr>
      </w:pPr>
      <w:r>
        <w:rPr>
          <w:sz w:val="28"/>
          <w:szCs w:val="28"/>
        </w:rPr>
        <w:t>Ensure compliance with this policy</w:t>
      </w:r>
    </w:p>
    <w:p w:rsidR="00EF2487" w:rsidRDefault="00EF2487" w:rsidP="00EF2487">
      <w:pPr>
        <w:pStyle w:val="ListParagraph"/>
        <w:numPr>
          <w:ilvl w:val="0"/>
          <w:numId w:val="2"/>
        </w:numPr>
        <w:jc w:val="both"/>
        <w:rPr>
          <w:sz w:val="28"/>
          <w:szCs w:val="28"/>
        </w:rPr>
      </w:pPr>
      <w:r>
        <w:rPr>
          <w:sz w:val="28"/>
          <w:szCs w:val="28"/>
        </w:rPr>
        <w:t>Review and discuss the Concentration Risk Report provided by management quarterly</w:t>
      </w:r>
    </w:p>
    <w:p w:rsidR="00EF2487" w:rsidRDefault="00EF2487" w:rsidP="00EF2487">
      <w:pPr>
        <w:pStyle w:val="ListParagraph"/>
        <w:numPr>
          <w:ilvl w:val="0"/>
          <w:numId w:val="2"/>
        </w:numPr>
        <w:jc w:val="both"/>
        <w:rPr>
          <w:sz w:val="28"/>
          <w:szCs w:val="28"/>
        </w:rPr>
      </w:pPr>
      <w:r>
        <w:rPr>
          <w:sz w:val="28"/>
          <w:szCs w:val="28"/>
        </w:rPr>
        <w:t>Review other ratios and information necessary to understand changes in the financial structure of TFCU</w:t>
      </w:r>
    </w:p>
    <w:p w:rsidR="00EF2487" w:rsidRDefault="00EF2487" w:rsidP="00EF2487">
      <w:pPr>
        <w:pStyle w:val="ListParagraph"/>
        <w:numPr>
          <w:ilvl w:val="0"/>
          <w:numId w:val="2"/>
        </w:numPr>
        <w:jc w:val="both"/>
        <w:rPr>
          <w:sz w:val="28"/>
          <w:szCs w:val="28"/>
        </w:rPr>
      </w:pPr>
      <w:r>
        <w:rPr>
          <w:sz w:val="28"/>
          <w:szCs w:val="28"/>
        </w:rPr>
        <w:t>Assess conformity to the limits of the Concentration Risk Report</w:t>
      </w:r>
    </w:p>
    <w:p w:rsidR="00EF2487" w:rsidRDefault="00EF2487" w:rsidP="00EF2487">
      <w:pPr>
        <w:pStyle w:val="ListParagraph"/>
        <w:numPr>
          <w:ilvl w:val="0"/>
          <w:numId w:val="2"/>
        </w:numPr>
        <w:jc w:val="both"/>
        <w:rPr>
          <w:sz w:val="28"/>
          <w:szCs w:val="28"/>
        </w:rPr>
      </w:pPr>
      <w:r>
        <w:rPr>
          <w:sz w:val="28"/>
          <w:szCs w:val="28"/>
        </w:rPr>
        <w:t>Report findings, conclusions, and recommendations to the Board.</w:t>
      </w:r>
    </w:p>
    <w:p w:rsidR="00EF2487" w:rsidRDefault="00EF2487" w:rsidP="00EF2487">
      <w:pPr>
        <w:jc w:val="both"/>
        <w:rPr>
          <w:sz w:val="28"/>
          <w:szCs w:val="28"/>
        </w:rPr>
      </w:pPr>
    </w:p>
    <w:p w:rsidR="00EF2487" w:rsidRDefault="00EF2487" w:rsidP="00EF2487">
      <w:pPr>
        <w:jc w:val="both"/>
        <w:rPr>
          <w:sz w:val="28"/>
          <w:szCs w:val="28"/>
        </w:rPr>
      </w:pPr>
      <w:r>
        <w:rPr>
          <w:sz w:val="28"/>
          <w:szCs w:val="28"/>
        </w:rPr>
        <w:t>The</w:t>
      </w:r>
      <w:r w:rsidR="00F257D2">
        <w:rPr>
          <w:sz w:val="28"/>
          <w:szCs w:val="28"/>
        </w:rPr>
        <w:t xml:space="preserve"> C</w:t>
      </w:r>
      <w:r>
        <w:rPr>
          <w:sz w:val="28"/>
          <w:szCs w:val="28"/>
        </w:rPr>
        <w:t xml:space="preserve">oncentration Risk </w:t>
      </w:r>
      <w:r w:rsidR="00F257D2">
        <w:rPr>
          <w:sz w:val="28"/>
          <w:szCs w:val="28"/>
        </w:rPr>
        <w:t>Program</w:t>
      </w:r>
      <w:r>
        <w:rPr>
          <w:sz w:val="28"/>
          <w:szCs w:val="28"/>
        </w:rPr>
        <w:t xml:space="preserve"> is to be periodically reviewed by an internal audit function. The scope of the audit should be sufficient to validate the accuracy of the reports provided to the ALCO and Board, and also ensure conformance with this policy and other applicable policy or regulation.</w:t>
      </w:r>
    </w:p>
    <w:p w:rsidR="007D362E" w:rsidRDefault="007D362E" w:rsidP="00EF2487">
      <w:pPr>
        <w:jc w:val="both"/>
        <w:rPr>
          <w:sz w:val="28"/>
          <w:szCs w:val="28"/>
        </w:rPr>
      </w:pPr>
    </w:p>
    <w:p w:rsidR="007D362E" w:rsidRDefault="007D362E" w:rsidP="00EF2487">
      <w:pPr>
        <w:jc w:val="both"/>
        <w:rPr>
          <w:sz w:val="28"/>
          <w:szCs w:val="28"/>
        </w:rPr>
      </w:pPr>
    </w:p>
    <w:p w:rsidR="007D362E" w:rsidRDefault="007D362E" w:rsidP="00EF2487">
      <w:pPr>
        <w:jc w:val="both"/>
        <w:rPr>
          <w:b/>
          <w:sz w:val="28"/>
          <w:szCs w:val="28"/>
        </w:rPr>
      </w:pPr>
      <w:r>
        <w:rPr>
          <w:b/>
          <w:sz w:val="28"/>
          <w:szCs w:val="28"/>
        </w:rPr>
        <w:t>Concentration Risk Limits</w:t>
      </w:r>
    </w:p>
    <w:p w:rsidR="007D362E" w:rsidRDefault="007D362E" w:rsidP="00EF2487">
      <w:pPr>
        <w:jc w:val="both"/>
        <w:rPr>
          <w:b/>
          <w:sz w:val="28"/>
          <w:szCs w:val="28"/>
        </w:rPr>
      </w:pPr>
    </w:p>
    <w:p w:rsidR="007D362E" w:rsidRDefault="00BC3309" w:rsidP="00EF2487">
      <w:pPr>
        <w:jc w:val="both"/>
        <w:rPr>
          <w:sz w:val="28"/>
          <w:szCs w:val="28"/>
        </w:rPr>
      </w:pPr>
      <w:r>
        <w:rPr>
          <w:sz w:val="28"/>
          <w:szCs w:val="28"/>
        </w:rPr>
        <w:t xml:space="preserve">The concentration risk limits matrix identifies specific concentration limits to be measured. These limits were determined to be necessary based on potential economic risks to the balance sheet or required by regulation.  In each case, the specific risk area addressed by the concentration limit is identified.  All limits were scrutinized in relation to net worth to ensure undue risk is not undertaken.  </w:t>
      </w:r>
    </w:p>
    <w:p w:rsidR="00BC3309" w:rsidRDefault="00BC3309" w:rsidP="00EF2487">
      <w:pPr>
        <w:jc w:val="both"/>
        <w:rPr>
          <w:sz w:val="28"/>
          <w:szCs w:val="28"/>
        </w:rPr>
      </w:pPr>
    </w:p>
    <w:p w:rsidR="00BC3309" w:rsidRPr="007D362E" w:rsidRDefault="00BC3309" w:rsidP="00EF2487">
      <w:pPr>
        <w:jc w:val="both"/>
        <w:rPr>
          <w:b/>
          <w:sz w:val="28"/>
          <w:szCs w:val="28"/>
        </w:rPr>
      </w:pPr>
      <w:r>
        <w:rPr>
          <w:sz w:val="28"/>
          <w:szCs w:val="28"/>
        </w:rPr>
        <w:t>Any concentration segment that is outside of an established limit</w:t>
      </w:r>
      <w:r w:rsidR="007E6D83">
        <w:rPr>
          <w:sz w:val="28"/>
          <w:szCs w:val="28"/>
        </w:rPr>
        <w:t xml:space="preserve"> must be addressed</w:t>
      </w:r>
      <w:r>
        <w:rPr>
          <w:sz w:val="28"/>
          <w:szCs w:val="28"/>
        </w:rPr>
        <w:t xml:space="preserve"> within 30 days of identification.  An action plan to bring the limit back in compliance or justification requiring board approval must be adopted at the next regularly scheduled board meeting.  Updates will be provided to the Board at each subsequent board meeting until the segment is back within established limits.  </w:t>
      </w:r>
    </w:p>
    <w:p w:rsidR="00EF2487" w:rsidRPr="00EF2487" w:rsidRDefault="00EF2487" w:rsidP="00EF2487">
      <w:pPr>
        <w:ind w:left="360"/>
        <w:rPr>
          <w:sz w:val="28"/>
          <w:szCs w:val="28"/>
        </w:rPr>
      </w:pPr>
    </w:p>
    <w:p w:rsidR="00D74C86" w:rsidRDefault="00D74C86">
      <w:pPr>
        <w:rPr>
          <w:sz w:val="28"/>
          <w:szCs w:val="28"/>
        </w:rPr>
      </w:pPr>
      <w:r>
        <w:rPr>
          <w:sz w:val="28"/>
          <w:szCs w:val="28"/>
        </w:rPr>
        <w:br w:type="page"/>
      </w:r>
    </w:p>
    <w:p w:rsidR="00792424" w:rsidRDefault="00792424" w:rsidP="002D07F2">
      <w:pPr>
        <w:rPr>
          <w:sz w:val="28"/>
          <w:szCs w:val="28"/>
        </w:rPr>
      </w:pPr>
    </w:p>
    <w:p w:rsidR="00792424" w:rsidRPr="002D07F2" w:rsidRDefault="00792424" w:rsidP="002D07F2">
      <w:pPr>
        <w:rPr>
          <w:sz w:val="28"/>
          <w:szCs w:val="28"/>
        </w:rPr>
      </w:pPr>
    </w:p>
    <w:tbl>
      <w:tblPr>
        <w:tblW w:w="8140" w:type="dxa"/>
        <w:tblInd w:w="91" w:type="dxa"/>
        <w:tblLook w:val="04A0"/>
      </w:tblPr>
      <w:tblGrid>
        <w:gridCol w:w="2920"/>
        <w:gridCol w:w="1600"/>
        <w:gridCol w:w="1060"/>
        <w:gridCol w:w="1140"/>
        <w:gridCol w:w="1420"/>
      </w:tblGrid>
      <w:tr w:rsidR="00276324" w:rsidRPr="00276324" w:rsidTr="00276324">
        <w:trPr>
          <w:trHeight w:val="66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b/>
                <w:bCs/>
                <w:color w:val="000000"/>
                <w:sz w:val="28"/>
                <w:szCs w:val="28"/>
              </w:rPr>
            </w:pPr>
            <w:r w:rsidRPr="00276324">
              <w:rPr>
                <w:rFonts w:ascii="Calibri" w:eastAsia="Times New Roman" w:hAnsi="Calibri" w:cs="Times New Roman"/>
                <w:b/>
                <w:bCs/>
                <w:color w:val="000000"/>
                <w:sz w:val="28"/>
                <w:szCs w:val="28"/>
              </w:rPr>
              <w:t>Concentration Risk Limits</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r>
      <w:tr w:rsidR="00276324" w:rsidRPr="00276324" w:rsidTr="00276324">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r>
      <w:tr w:rsidR="00276324" w:rsidRPr="00276324" w:rsidTr="00276324">
        <w:trPr>
          <w:trHeight w:val="570"/>
        </w:trPr>
        <w:tc>
          <w:tcPr>
            <w:tcW w:w="2920" w:type="dxa"/>
            <w:tcBorders>
              <w:top w:val="nil"/>
              <w:left w:val="single" w:sz="4" w:space="0" w:color="auto"/>
              <w:bottom w:val="single" w:sz="4" w:space="0" w:color="auto"/>
              <w:right w:val="single" w:sz="4" w:space="0" w:color="auto"/>
            </w:tcBorders>
            <w:shd w:val="clear" w:color="000000" w:fill="0D0D0D"/>
            <w:noWrap/>
            <w:vAlign w:val="bottom"/>
            <w:hideMark/>
          </w:tcPr>
          <w:p w:rsidR="00276324" w:rsidRPr="00276324" w:rsidRDefault="00276324" w:rsidP="00276324">
            <w:pPr>
              <w:rPr>
                <w:rFonts w:ascii="Calibri" w:eastAsia="Times New Roman" w:hAnsi="Calibri" w:cs="Times New Roman"/>
                <w:color w:val="FFFFFF"/>
              </w:rPr>
            </w:pPr>
            <w:r w:rsidRPr="00276324">
              <w:rPr>
                <w:rFonts w:ascii="Calibri" w:eastAsia="Times New Roman" w:hAnsi="Calibri" w:cs="Times New Roman"/>
                <w:color w:val="FFFFFF"/>
              </w:rPr>
              <w:t>Item Limited</w:t>
            </w:r>
          </w:p>
        </w:tc>
        <w:tc>
          <w:tcPr>
            <w:tcW w:w="1600" w:type="dxa"/>
            <w:tcBorders>
              <w:top w:val="nil"/>
              <w:left w:val="nil"/>
              <w:bottom w:val="single" w:sz="4" w:space="0" w:color="auto"/>
              <w:right w:val="single" w:sz="4" w:space="0" w:color="auto"/>
            </w:tcBorders>
            <w:shd w:val="clear" w:color="000000" w:fill="0D0D0D"/>
            <w:noWrap/>
            <w:vAlign w:val="bottom"/>
            <w:hideMark/>
          </w:tcPr>
          <w:p w:rsidR="00276324" w:rsidRPr="00276324" w:rsidRDefault="00276324" w:rsidP="00276324">
            <w:pPr>
              <w:rPr>
                <w:rFonts w:ascii="Calibri" w:eastAsia="Times New Roman" w:hAnsi="Calibri" w:cs="Times New Roman"/>
                <w:color w:val="FFFFFF"/>
              </w:rPr>
            </w:pPr>
            <w:r w:rsidRPr="00276324">
              <w:rPr>
                <w:rFonts w:ascii="Calibri" w:eastAsia="Times New Roman" w:hAnsi="Calibri" w:cs="Times New Roman"/>
                <w:color w:val="FFFFFF"/>
              </w:rPr>
              <w:t>Limit</w:t>
            </w:r>
          </w:p>
        </w:tc>
        <w:tc>
          <w:tcPr>
            <w:tcW w:w="1060" w:type="dxa"/>
            <w:tcBorders>
              <w:top w:val="nil"/>
              <w:left w:val="nil"/>
              <w:bottom w:val="single" w:sz="4" w:space="0" w:color="auto"/>
              <w:right w:val="single" w:sz="4" w:space="0" w:color="auto"/>
            </w:tcBorders>
            <w:shd w:val="clear" w:color="000000" w:fill="0D0D0D"/>
            <w:noWrap/>
            <w:vAlign w:val="bottom"/>
            <w:hideMark/>
          </w:tcPr>
          <w:p w:rsidR="00276324" w:rsidRPr="00276324" w:rsidRDefault="00276324" w:rsidP="00276324">
            <w:pPr>
              <w:rPr>
                <w:rFonts w:ascii="Calibri" w:eastAsia="Times New Roman" w:hAnsi="Calibri" w:cs="Times New Roman"/>
                <w:color w:val="FFFFFF"/>
              </w:rPr>
            </w:pPr>
            <w:r w:rsidRPr="00276324">
              <w:rPr>
                <w:rFonts w:ascii="Calibri" w:eastAsia="Times New Roman" w:hAnsi="Calibri" w:cs="Times New Roman"/>
                <w:color w:val="FFFFFF"/>
              </w:rPr>
              <w:t>Risk Area</w:t>
            </w:r>
          </w:p>
        </w:tc>
        <w:tc>
          <w:tcPr>
            <w:tcW w:w="1140" w:type="dxa"/>
            <w:tcBorders>
              <w:top w:val="nil"/>
              <w:left w:val="nil"/>
              <w:bottom w:val="single" w:sz="4" w:space="0" w:color="auto"/>
              <w:right w:val="single" w:sz="4" w:space="0" w:color="auto"/>
            </w:tcBorders>
            <w:shd w:val="clear" w:color="000000" w:fill="0D0D0D"/>
            <w:noWrap/>
            <w:vAlign w:val="bottom"/>
            <w:hideMark/>
          </w:tcPr>
          <w:p w:rsidR="00276324" w:rsidRPr="00276324" w:rsidRDefault="00276324" w:rsidP="00276324">
            <w:pPr>
              <w:rPr>
                <w:rFonts w:ascii="Calibri" w:eastAsia="Times New Roman" w:hAnsi="Calibri" w:cs="Times New Roman"/>
                <w:color w:val="FFFFFF"/>
              </w:rPr>
            </w:pPr>
            <w:r w:rsidRPr="00276324">
              <w:rPr>
                <w:rFonts w:ascii="Calibri" w:eastAsia="Times New Roman" w:hAnsi="Calibri" w:cs="Times New Roman"/>
                <w:color w:val="FFFFFF"/>
              </w:rPr>
              <w:t>Cross-Ref</w:t>
            </w:r>
          </w:p>
        </w:tc>
        <w:tc>
          <w:tcPr>
            <w:tcW w:w="1420" w:type="dxa"/>
            <w:tcBorders>
              <w:top w:val="nil"/>
              <w:left w:val="nil"/>
              <w:bottom w:val="single" w:sz="4" w:space="0" w:color="auto"/>
              <w:right w:val="single" w:sz="4" w:space="0" w:color="auto"/>
            </w:tcBorders>
            <w:shd w:val="clear" w:color="000000" w:fill="0D0D0D"/>
            <w:vAlign w:val="bottom"/>
            <w:hideMark/>
          </w:tcPr>
          <w:p w:rsidR="00276324" w:rsidRPr="00276324" w:rsidRDefault="00276324" w:rsidP="00276324">
            <w:pPr>
              <w:rPr>
                <w:rFonts w:ascii="Calibri" w:eastAsia="Times New Roman" w:hAnsi="Calibri" w:cs="Times New Roman"/>
                <w:color w:val="FFFFFF"/>
              </w:rPr>
            </w:pPr>
            <w:r w:rsidRPr="00276324">
              <w:rPr>
                <w:rFonts w:ascii="Calibri" w:eastAsia="Times New Roman" w:hAnsi="Calibri" w:cs="Times New Roman"/>
                <w:color w:val="FFFFFF"/>
              </w:rPr>
              <w:t>Date Added/ Modified</w:t>
            </w:r>
          </w:p>
        </w:tc>
      </w:tr>
      <w:tr w:rsidR="00276324" w:rsidRPr="00276324" w:rsidTr="00276324">
        <w:trPr>
          <w:trHeight w:val="405"/>
        </w:trPr>
        <w:tc>
          <w:tcPr>
            <w:tcW w:w="2920" w:type="dxa"/>
            <w:tcBorders>
              <w:top w:val="nil"/>
              <w:left w:val="single" w:sz="4" w:space="0" w:color="auto"/>
              <w:bottom w:val="single" w:sz="4" w:space="0" w:color="auto"/>
              <w:right w:val="single" w:sz="4" w:space="0" w:color="auto"/>
            </w:tcBorders>
            <w:shd w:val="clear" w:color="000000" w:fill="BFBFBF"/>
            <w:noWrap/>
            <w:vAlign w:val="bottom"/>
            <w:hideMark/>
          </w:tcPr>
          <w:p w:rsidR="00276324" w:rsidRPr="00276324" w:rsidRDefault="00276324" w:rsidP="00276324">
            <w:pPr>
              <w:rPr>
                <w:rFonts w:ascii="Calibri" w:eastAsia="Times New Roman" w:hAnsi="Calibri" w:cs="Times New Roman"/>
                <w:b/>
                <w:bCs/>
              </w:rPr>
            </w:pPr>
            <w:r w:rsidRPr="00276324">
              <w:rPr>
                <w:rFonts w:ascii="Calibri" w:eastAsia="Times New Roman" w:hAnsi="Calibri" w:cs="Times New Roman"/>
                <w:b/>
                <w:bCs/>
              </w:rPr>
              <w:t>Loans</w:t>
            </w:r>
          </w:p>
        </w:tc>
        <w:tc>
          <w:tcPr>
            <w:tcW w:w="1600" w:type="dxa"/>
            <w:tcBorders>
              <w:top w:val="nil"/>
              <w:left w:val="nil"/>
              <w:bottom w:val="single" w:sz="4" w:space="0" w:color="auto"/>
              <w:right w:val="single" w:sz="4" w:space="0" w:color="auto"/>
            </w:tcBorders>
            <w:shd w:val="clear" w:color="000000" w:fill="BFBFBF"/>
            <w:noWrap/>
            <w:vAlign w:val="bottom"/>
            <w:hideMark/>
          </w:tcPr>
          <w:p w:rsidR="00276324" w:rsidRPr="00276324" w:rsidRDefault="00276324" w:rsidP="00276324">
            <w:pPr>
              <w:rPr>
                <w:rFonts w:ascii="Calibri" w:eastAsia="Times New Roman" w:hAnsi="Calibri" w:cs="Times New Roman"/>
              </w:rPr>
            </w:pPr>
            <w:r w:rsidRPr="00276324">
              <w:rPr>
                <w:rFonts w:ascii="Calibri" w:eastAsia="Times New Roman" w:hAnsi="Calibri" w:cs="Times New Roman"/>
              </w:rPr>
              <w:t> </w:t>
            </w:r>
          </w:p>
        </w:tc>
        <w:tc>
          <w:tcPr>
            <w:tcW w:w="1060" w:type="dxa"/>
            <w:tcBorders>
              <w:top w:val="nil"/>
              <w:left w:val="nil"/>
              <w:bottom w:val="single" w:sz="4" w:space="0" w:color="auto"/>
              <w:right w:val="single" w:sz="4" w:space="0" w:color="auto"/>
            </w:tcBorders>
            <w:shd w:val="clear" w:color="000000" w:fill="BFBFBF"/>
            <w:noWrap/>
            <w:vAlign w:val="bottom"/>
            <w:hideMark/>
          </w:tcPr>
          <w:p w:rsidR="00276324" w:rsidRPr="00276324" w:rsidRDefault="00276324" w:rsidP="00276324">
            <w:pPr>
              <w:rPr>
                <w:rFonts w:ascii="Calibri" w:eastAsia="Times New Roman" w:hAnsi="Calibri" w:cs="Times New Roman"/>
              </w:rPr>
            </w:pPr>
            <w:r w:rsidRPr="00276324">
              <w:rPr>
                <w:rFonts w:ascii="Calibri" w:eastAsia="Times New Roman" w:hAnsi="Calibri" w:cs="Times New Roman"/>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276324" w:rsidRPr="00276324" w:rsidRDefault="00276324" w:rsidP="00276324">
            <w:pPr>
              <w:rPr>
                <w:rFonts w:ascii="Calibri" w:eastAsia="Times New Roman" w:hAnsi="Calibri" w:cs="Times New Roman"/>
              </w:rPr>
            </w:pPr>
            <w:r w:rsidRPr="00276324">
              <w:rPr>
                <w:rFonts w:ascii="Calibri" w:eastAsia="Times New Roman" w:hAnsi="Calibri" w:cs="Times New Roman"/>
              </w:rPr>
              <w:t> </w:t>
            </w:r>
          </w:p>
        </w:tc>
        <w:tc>
          <w:tcPr>
            <w:tcW w:w="1420" w:type="dxa"/>
            <w:tcBorders>
              <w:top w:val="nil"/>
              <w:left w:val="nil"/>
              <w:bottom w:val="single" w:sz="4" w:space="0" w:color="auto"/>
              <w:right w:val="single" w:sz="4" w:space="0" w:color="auto"/>
            </w:tcBorders>
            <w:shd w:val="clear" w:color="000000" w:fill="BFBFBF"/>
            <w:noWrap/>
            <w:vAlign w:val="bottom"/>
            <w:hideMark/>
          </w:tcPr>
          <w:p w:rsidR="00276324" w:rsidRPr="00276324" w:rsidRDefault="00276324" w:rsidP="00276324">
            <w:pPr>
              <w:rPr>
                <w:rFonts w:ascii="Calibri" w:eastAsia="Times New Roman" w:hAnsi="Calibri" w:cs="Times New Roman"/>
              </w:rPr>
            </w:pPr>
            <w:r w:rsidRPr="00276324">
              <w:rPr>
                <w:rFonts w:ascii="Calibri" w:eastAsia="Times New Roman" w:hAnsi="Calibri" w:cs="Times New Roman"/>
              </w:rPr>
              <w:t> </w:t>
            </w:r>
          </w:p>
        </w:tc>
      </w:tr>
      <w:tr w:rsidR="00276324" w:rsidRPr="00276324" w:rsidTr="00276324">
        <w:trPr>
          <w:trHeight w:val="1035"/>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Aggregate Limit per member for all loan types</w:t>
            </w:r>
          </w:p>
        </w:tc>
        <w:tc>
          <w:tcPr>
            <w:tcW w:w="1600" w:type="dxa"/>
            <w:tcBorders>
              <w:top w:val="nil"/>
              <w:left w:val="nil"/>
              <w:bottom w:val="single" w:sz="4" w:space="0" w:color="auto"/>
              <w:right w:val="single" w:sz="4" w:space="0" w:color="auto"/>
            </w:tcBorders>
            <w:shd w:val="clear" w:color="auto" w:fill="auto"/>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10% of unimpaired shares and surplus</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 xml:space="preserve">Credit </w:t>
            </w:r>
          </w:p>
        </w:tc>
        <w:tc>
          <w:tcPr>
            <w:tcW w:w="114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Loan Policy</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Apr-12</w:t>
            </w:r>
          </w:p>
        </w:tc>
      </w:tr>
      <w:tr w:rsidR="00276324" w:rsidRPr="00276324" w:rsidTr="00276324">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Loans to Shares</w:t>
            </w:r>
          </w:p>
        </w:tc>
        <w:tc>
          <w:tcPr>
            <w:tcW w:w="1600" w:type="dxa"/>
            <w:tcBorders>
              <w:top w:val="nil"/>
              <w:left w:val="nil"/>
              <w:bottom w:val="single" w:sz="4" w:space="0" w:color="auto"/>
              <w:right w:val="single" w:sz="4" w:space="0" w:color="auto"/>
            </w:tcBorders>
            <w:shd w:val="clear" w:color="auto" w:fill="auto"/>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95%</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Liquidity</w:t>
            </w:r>
          </w:p>
        </w:tc>
        <w:tc>
          <w:tcPr>
            <w:tcW w:w="114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ALM Policy</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Apr-12</w:t>
            </w:r>
          </w:p>
        </w:tc>
      </w:tr>
      <w:tr w:rsidR="00276324" w:rsidRPr="00276324" w:rsidTr="00276324">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Loans to Assets</w:t>
            </w:r>
          </w:p>
        </w:tc>
        <w:tc>
          <w:tcPr>
            <w:tcW w:w="1600" w:type="dxa"/>
            <w:tcBorders>
              <w:top w:val="nil"/>
              <w:left w:val="nil"/>
              <w:bottom w:val="single" w:sz="4" w:space="0" w:color="auto"/>
              <w:right w:val="single" w:sz="4" w:space="0" w:color="auto"/>
            </w:tcBorders>
            <w:shd w:val="clear" w:color="auto" w:fill="auto"/>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90%</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Liquidity</w:t>
            </w:r>
          </w:p>
        </w:tc>
        <w:tc>
          <w:tcPr>
            <w:tcW w:w="114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ALM Policy</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Apr-12</w:t>
            </w:r>
          </w:p>
        </w:tc>
      </w:tr>
      <w:tr w:rsidR="00276324" w:rsidRPr="00276324" w:rsidTr="00276324">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600" w:type="dxa"/>
            <w:tcBorders>
              <w:top w:val="nil"/>
              <w:left w:val="nil"/>
              <w:bottom w:val="single" w:sz="4" w:space="0" w:color="auto"/>
              <w:right w:val="single" w:sz="4" w:space="0" w:color="auto"/>
            </w:tcBorders>
            <w:shd w:val="clear" w:color="auto" w:fill="auto"/>
            <w:vAlign w:val="bottom"/>
            <w:hideMark/>
          </w:tcPr>
          <w:p w:rsidR="00276324" w:rsidRPr="00276324" w:rsidRDefault="00276324" w:rsidP="00276324">
            <w:pPr>
              <w:jc w:val="right"/>
              <w:rPr>
                <w:rFonts w:ascii="Calibri" w:eastAsia="Times New Roman" w:hAnsi="Calibri" w:cs="Times New Roman"/>
                <w:color w:val="000000"/>
              </w:rPr>
            </w:pPr>
            <w:r w:rsidRPr="00276324">
              <w:rPr>
                <w:rFonts w:ascii="Calibri" w:eastAsia="Times New Roman" w:hAnsi="Calibri"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r>
      <w:tr w:rsidR="00276324" w:rsidRPr="00276324" w:rsidTr="00276324">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600" w:type="dxa"/>
            <w:tcBorders>
              <w:top w:val="nil"/>
              <w:left w:val="nil"/>
              <w:bottom w:val="single" w:sz="4" w:space="0" w:color="auto"/>
              <w:right w:val="single" w:sz="4" w:space="0" w:color="auto"/>
            </w:tcBorders>
            <w:shd w:val="clear" w:color="auto" w:fill="auto"/>
            <w:vAlign w:val="bottom"/>
            <w:hideMark/>
          </w:tcPr>
          <w:p w:rsidR="00276324" w:rsidRPr="00276324" w:rsidRDefault="00276324" w:rsidP="00276324">
            <w:pPr>
              <w:jc w:val="right"/>
              <w:rPr>
                <w:rFonts w:ascii="Calibri" w:eastAsia="Times New Roman" w:hAnsi="Calibri" w:cs="Times New Roman"/>
                <w:color w:val="000000"/>
              </w:rPr>
            </w:pPr>
            <w:r w:rsidRPr="00276324">
              <w:rPr>
                <w:rFonts w:ascii="Calibri" w:eastAsia="Times New Roman" w:hAnsi="Calibri"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r>
      <w:tr w:rsidR="00276324" w:rsidRPr="00276324" w:rsidTr="00276324">
        <w:trPr>
          <w:trHeight w:val="405"/>
        </w:trPr>
        <w:tc>
          <w:tcPr>
            <w:tcW w:w="2920" w:type="dxa"/>
            <w:tcBorders>
              <w:top w:val="nil"/>
              <w:left w:val="single" w:sz="4" w:space="0" w:color="auto"/>
              <w:bottom w:val="single" w:sz="4" w:space="0" w:color="auto"/>
              <w:right w:val="single" w:sz="4" w:space="0" w:color="auto"/>
            </w:tcBorders>
            <w:shd w:val="clear" w:color="000000" w:fill="BFBFBF"/>
            <w:vAlign w:val="bottom"/>
            <w:hideMark/>
          </w:tcPr>
          <w:p w:rsidR="00276324" w:rsidRPr="00276324" w:rsidRDefault="00276324" w:rsidP="00276324">
            <w:pPr>
              <w:rPr>
                <w:rFonts w:ascii="Calibri" w:eastAsia="Times New Roman" w:hAnsi="Calibri" w:cs="Times New Roman"/>
                <w:b/>
                <w:bCs/>
                <w:color w:val="000000"/>
              </w:rPr>
            </w:pPr>
            <w:r w:rsidRPr="00276324">
              <w:rPr>
                <w:rFonts w:ascii="Calibri" w:eastAsia="Times New Roman" w:hAnsi="Calibri" w:cs="Times New Roman"/>
                <w:b/>
                <w:bCs/>
                <w:color w:val="000000"/>
              </w:rPr>
              <w:t>Unsecured</w:t>
            </w:r>
          </w:p>
        </w:tc>
        <w:tc>
          <w:tcPr>
            <w:tcW w:w="1600" w:type="dxa"/>
            <w:tcBorders>
              <w:top w:val="nil"/>
              <w:left w:val="nil"/>
              <w:bottom w:val="single" w:sz="4" w:space="0" w:color="auto"/>
              <w:right w:val="single" w:sz="4" w:space="0" w:color="auto"/>
            </w:tcBorders>
            <w:shd w:val="clear" w:color="000000" w:fill="BFBFBF"/>
            <w:vAlign w:val="bottom"/>
            <w:hideMark/>
          </w:tcPr>
          <w:p w:rsidR="00276324" w:rsidRPr="00276324" w:rsidRDefault="00276324" w:rsidP="00276324">
            <w:pPr>
              <w:jc w:val="right"/>
              <w:rPr>
                <w:rFonts w:ascii="Calibri" w:eastAsia="Times New Roman" w:hAnsi="Calibri" w:cs="Times New Roman"/>
                <w:color w:val="000000"/>
              </w:rPr>
            </w:pPr>
            <w:r w:rsidRPr="00276324">
              <w:rPr>
                <w:rFonts w:ascii="Calibri" w:eastAsia="Times New Roman" w:hAnsi="Calibri" w:cs="Times New Roman"/>
                <w:color w:val="000000"/>
              </w:rPr>
              <w:t> </w:t>
            </w:r>
          </w:p>
        </w:tc>
        <w:tc>
          <w:tcPr>
            <w:tcW w:w="1060" w:type="dxa"/>
            <w:tcBorders>
              <w:top w:val="nil"/>
              <w:left w:val="nil"/>
              <w:bottom w:val="single" w:sz="4" w:space="0" w:color="auto"/>
              <w:right w:val="single" w:sz="4" w:space="0" w:color="auto"/>
            </w:tcBorders>
            <w:shd w:val="clear" w:color="000000" w:fill="BFBFBF"/>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000000" w:fill="BFBFBF"/>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r>
      <w:tr w:rsidR="00276324" w:rsidRPr="00276324" w:rsidTr="00276324">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Signature Loans</w:t>
            </w:r>
          </w:p>
        </w:tc>
        <w:tc>
          <w:tcPr>
            <w:tcW w:w="160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 xml:space="preserve">$6,000 </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Credit</w:t>
            </w:r>
          </w:p>
        </w:tc>
        <w:tc>
          <w:tcPr>
            <w:tcW w:w="114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Loan Policy</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Apr-12</w:t>
            </w:r>
          </w:p>
        </w:tc>
      </w:tr>
      <w:tr w:rsidR="00276324" w:rsidRPr="00276324" w:rsidTr="00276324">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Vacation and Christmas</w:t>
            </w:r>
          </w:p>
        </w:tc>
        <w:tc>
          <w:tcPr>
            <w:tcW w:w="160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 xml:space="preserve">$2,000 </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Credit</w:t>
            </w:r>
          </w:p>
        </w:tc>
        <w:tc>
          <w:tcPr>
            <w:tcW w:w="114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Loan Policy</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Apr-12</w:t>
            </w:r>
          </w:p>
        </w:tc>
      </w:tr>
      <w:tr w:rsidR="00276324" w:rsidRPr="00276324" w:rsidTr="00276324">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Mastercard</w:t>
            </w:r>
          </w:p>
        </w:tc>
        <w:tc>
          <w:tcPr>
            <w:tcW w:w="160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 xml:space="preserve">$11,000 </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Credit</w:t>
            </w:r>
          </w:p>
        </w:tc>
        <w:tc>
          <w:tcPr>
            <w:tcW w:w="114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Loan Policy</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Apr-12</w:t>
            </w:r>
          </w:p>
        </w:tc>
      </w:tr>
      <w:tr w:rsidR="00276324" w:rsidRPr="00276324" w:rsidTr="00276324">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Total unsecured per borrower</w:t>
            </w:r>
          </w:p>
        </w:tc>
        <w:tc>
          <w:tcPr>
            <w:tcW w:w="160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 xml:space="preserve">$15,000 </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Credit</w:t>
            </w:r>
          </w:p>
        </w:tc>
        <w:tc>
          <w:tcPr>
            <w:tcW w:w="114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Loan Policy</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Apr-12</w:t>
            </w:r>
          </w:p>
        </w:tc>
      </w:tr>
      <w:tr w:rsidR="00276324" w:rsidRPr="00276324" w:rsidTr="00276324">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rPr>
            </w:pPr>
            <w:r w:rsidRPr="00276324">
              <w:rPr>
                <w:rFonts w:ascii="Calibri" w:eastAsia="Times New Roman" w:hAnsi="Calibri"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r>
      <w:tr w:rsidR="00276324" w:rsidRPr="00276324" w:rsidTr="00276324">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rPr>
            </w:pPr>
            <w:r w:rsidRPr="00276324">
              <w:rPr>
                <w:rFonts w:ascii="Calibri" w:eastAsia="Times New Roman" w:hAnsi="Calibri"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r>
      <w:tr w:rsidR="00276324" w:rsidRPr="00276324" w:rsidTr="00276324">
        <w:trPr>
          <w:trHeight w:val="405"/>
        </w:trPr>
        <w:tc>
          <w:tcPr>
            <w:tcW w:w="2920" w:type="dxa"/>
            <w:tcBorders>
              <w:top w:val="nil"/>
              <w:left w:val="single" w:sz="4" w:space="0" w:color="auto"/>
              <w:bottom w:val="single" w:sz="4" w:space="0" w:color="auto"/>
              <w:right w:val="single" w:sz="4" w:space="0" w:color="auto"/>
            </w:tcBorders>
            <w:shd w:val="clear" w:color="000000" w:fill="BFBFBF"/>
            <w:noWrap/>
            <w:vAlign w:val="bottom"/>
            <w:hideMark/>
          </w:tcPr>
          <w:p w:rsidR="00276324" w:rsidRPr="00276324" w:rsidRDefault="00276324" w:rsidP="00276324">
            <w:pPr>
              <w:rPr>
                <w:rFonts w:ascii="Calibri" w:eastAsia="Times New Roman" w:hAnsi="Calibri" w:cs="Times New Roman"/>
                <w:b/>
                <w:bCs/>
                <w:color w:val="000000"/>
              </w:rPr>
            </w:pPr>
            <w:r w:rsidRPr="00276324">
              <w:rPr>
                <w:rFonts w:ascii="Calibri" w:eastAsia="Times New Roman" w:hAnsi="Calibri" w:cs="Times New Roman"/>
                <w:b/>
                <w:bCs/>
                <w:color w:val="000000"/>
              </w:rPr>
              <w:t>Real Estate Loans</w:t>
            </w:r>
          </w:p>
        </w:tc>
        <w:tc>
          <w:tcPr>
            <w:tcW w:w="1600" w:type="dxa"/>
            <w:tcBorders>
              <w:top w:val="nil"/>
              <w:left w:val="nil"/>
              <w:bottom w:val="single" w:sz="4" w:space="0" w:color="auto"/>
              <w:right w:val="single" w:sz="4" w:space="0" w:color="auto"/>
            </w:tcBorders>
            <w:shd w:val="clear" w:color="000000" w:fill="BFBFBF"/>
            <w:noWrap/>
            <w:vAlign w:val="bottom"/>
            <w:hideMark/>
          </w:tcPr>
          <w:p w:rsidR="00276324" w:rsidRPr="00276324" w:rsidRDefault="00276324" w:rsidP="00276324">
            <w:pPr>
              <w:jc w:val="right"/>
              <w:rPr>
                <w:rFonts w:ascii="Calibri" w:eastAsia="Times New Roman" w:hAnsi="Calibri" w:cs="Times New Roman"/>
                <w:color w:val="000000"/>
              </w:rPr>
            </w:pPr>
            <w:r w:rsidRPr="00276324">
              <w:rPr>
                <w:rFonts w:ascii="Calibri" w:eastAsia="Times New Roman" w:hAnsi="Calibri" w:cs="Times New Roman"/>
                <w:color w:val="000000"/>
              </w:rPr>
              <w:t> </w:t>
            </w:r>
          </w:p>
        </w:tc>
        <w:tc>
          <w:tcPr>
            <w:tcW w:w="1060" w:type="dxa"/>
            <w:tcBorders>
              <w:top w:val="nil"/>
              <w:left w:val="nil"/>
              <w:bottom w:val="single" w:sz="4" w:space="0" w:color="auto"/>
              <w:right w:val="single" w:sz="4" w:space="0" w:color="auto"/>
            </w:tcBorders>
            <w:shd w:val="clear" w:color="000000" w:fill="BFBFBF"/>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000000" w:fill="BFBFBF"/>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r>
      <w:tr w:rsidR="00276324" w:rsidRPr="00276324" w:rsidTr="00276324">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RE loans by remaining term:</w:t>
            </w:r>
          </w:p>
        </w:tc>
        <w:tc>
          <w:tcPr>
            <w:tcW w:w="160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 </w:t>
            </w:r>
          </w:p>
        </w:tc>
      </w:tr>
      <w:tr w:rsidR="00276324" w:rsidRPr="00276324" w:rsidTr="006B1F79">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&lt;=7 years</w:t>
            </w:r>
          </w:p>
        </w:tc>
        <w:tc>
          <w:tcPr>
            <w:tcW w:w="160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rPr>
            </w:pPr>
            <w:r w:rsidRPr="00276324">
              <w:rPr>
                <w:rFonts w:ascii="Calibri" w:eastAsia="Times New Roman" w:hAnsi="Calibri" w:cs="Times New Roman"/>
                <w:color w:val="000000"/>
              </w:rPr>
              <w:t>200% NW</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IRR</w:t>
            </w:r>
          </w:p>
        </w:tc>
        <w:tc>
          <w:tcPr>
            <w:tcW w:w="114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ALM</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Apr-12</w:t>
            </w:r>
          </w:p>
        </w:tc>
      </w:tr>
      <w:tr w:rsidR="00276324" w:rsidRPr="00276324" w:rsidTr="006B1F79">
        <w:trPr>
          <w:trHeight w:val="300"/>
        </w:trPr>
        <w:tc>
          <w:tcPr>
            <w:tcW w:w="2920" w:type="dxa"/>
            <w:tcBorders>
              <w:top w:val="single" w:sz="4" w:space="0" w:color="auto"/>
              <w:left w:val="single" w:sz="4" w:space="0" w:color="auto"/>
              <w:bottom w:val="single" w:sz="4" w:space="0" w:color="auto"/>
              <w:right w:val="nil"/>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&gt;7 to 15 years</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rPr>
            </w:pPr>
            <w:r w:rsidRPr="00276324">
              <w:rPr>
                <w:rFonts w:ascii="Calibri" w:eastAsia="Times New Roman" w:hAnsi="Calibri" w:cs="Times New Roman"/>
                <w:color w:val="000000"/>
              </w:rPr>
              <w:t>100% NW</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IRR</w:t>
            </w:r>
          </w:p>
        </w:tc>
        <w:tc>
          <w:tcPr>
            <w:tcW w:w="114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ALM</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Apr-12</w:t>
            </w:r>
          </w:p>
        </w:tc>
      </w:tr>
      <w:tr w:rsidR="00276324" w:rsidRPr="00276324" w:rsidTr="006B1F79">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&gt; 15 years</w:t>
            </w:r>
          </w:p>
        </w:tc>
        <w:tc>
          <w:tcPr>
            <w:tcW w:w="160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rPr>
            </w:pPr>
            <w:r w:rsidRPr="00276324">
              <w:rPr>
                <w:rFonts w:ascii="Calibri" w:eastAsia="Times New Roman" w:hAnsi="Calibri" w:cs="Times New Roman"/>
                <w:color w:val="000000"/>
              </w:rPr>
              <w:t>50% NW</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IRR</w:t>
            </w:r>
          </w:p>
        </w:tc>
        <w:tc>
          <w:tcPr>
            <w:tcW w:w="114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ALM</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Apr-12</w:t>
            </w:r>
          </w:p>
        </w:tc>
      </w:tr>
      <w:tr w:rsidR="00276324" w:rsidRPr="00276324" w:rsidTr="00276324">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rPr>
            </w:pPr>
            <w:r w:rsidRPr="00276324">
              <w:rPr>
                <w:rFonts w:ascii="Calibri" w:eastAsia="Times New Roman" w:hAnsi="Calibri"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r>
      <w:tr w:rsidR="00276324" w:rsidRPr="00276324" w:rsidTr="00276324">
        <w:trPr>
          <w:trHeight w:val="405"/>
        </w:trPr>
        <w:tc>
          <w:tcPr>
            <w:tcW w:w="2920" w:type="dxa"/>
            <w:tcBorders>
              <w:top w:val="nil"/>
              <w:left w:val="single" w:sz="4" w:space="0" w:color="auto"/>
              <w:bottom w:val="single" w:sz="4" w:space="0" w:color="auto"/>
              <w:right w:val="single" w:sz="4" w:space="0" w:color="auto"/>
            </w:tcBorders>
            <w:shd w:val="clear" w:color="000000" w:fill="BFBFBF"/>
            <w:noWrap/>
            <w:vAlign w:val="bottom"/>
            <w:hideMark/>
          </w:tcPr>
          <w:p w:rsidR="00276324" w:rsidRPr="00276324" w:rsidRDefault="00276324" w:rsidP="00276324">
            <w:pPr>
              <w:rPr>
                <w:rFonts w:ascii="Calibri" w:eastAsia="Times New Roman" w:hAnsi="Calibri" w:cs="Times New Roman"/>
                <w:b/>
                <w:bCs/>
                <w:color w:val="000000"/>
              </w:rPr>
            </w:pPr>
            <w:r w:rsidRPr="00276324">
              <w:rPr>
                <w:rFonts w:ascii="Calibri" w:eastAsia="Times New Roman" w:hAnsi="Calibri" w:cs="Times New Roman"/>
                <w:b/>
                <w:bCs/>
                <w:color w:val="000000"/>
              </w:rPr>
              <w:t>Member Business Loans</w:t>
            </w:r>
          </w:p>
        </w:tc>
        <w:tc>
          <w:tcPr>
            <w:tcW w:w="1600" w:type="dxa"/>
            <w:tcBorders>
              <w:top w:val="nil"/>
              <w:left w:val="nil"/>
              <w:bottom w:val="single" w:sz="4" w:space="0" w:color="auto"/>
              <w:right w:val="single" w:sz="4" w:space="0" w:color="auto"/>
            </w:tcBorders>
            <w:shd w:val="clear" w:color="000000" w:fill="BFBFBF"/>
            <w:noWrap/>
            <w:vAlign w:val="bottom"/>
            <w:hideMark/>
          </w:tcPr>
          <w:p w:rsidR="00276324" w:rsidRPr="00276324" w:rsidRDefault="00276324" w:rsidP="00276324">
            <w:pPr>
              <w:jc w:val="right"/>
              <w:rPr>
                <w:rFonts w:ascii="Calibri" w:eastAsia="Times New Roman" w:hAnsi="Calibri" w:cs="Times New Roman"/>
                <w:color w:val="000000"/>
              </w:rPr>
            </w:pPr>
            <w:r w:rsidRPr="00276324">
              <w:rPr>
                <w:rFonts w:ascii="Calibri" w:eastAsia="Times New Roman" w:hAnsi="Calibri" w:cs="Times New Roman"/>
                <w:color w:val="000000"/>
              </w:rPr>
              <w:t> </w:t>
            </w:r>
          </w:p>
        </w:tc>
        <w:tc>
          <w:tcPr>
            <w:tcW w:w="1060" w:type="dxa"/>
            <w:tcBorders>
              <w:top w:val="nil"/>
              <w:left w:val="nil"/>
              <w:bottom w:val="single" w:sz="4" w:space="0" w:color="auto"/>
              <w:right w:val="single" w:sz="4" w:space="0" w:color="auto"/>
            </w:tcBorders>
            <w:shd w:val="clear" w:color="000000" w:fill="BFBFBF"/>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000000" w:fill="BFBFBF"/>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r>
      <w:tr w:rsidR="00276324" w:rsidRPr="00276324" w:rsidTr="00276324">
        <w:trPr>
          <w:trHeight w:val="525"/>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Aggregate Limit of Outstanding MBLs</w:t>
            </w:r>
          </w:p>
        </w:tc>
        <w:tc>
          <w:tcPr>
            <w:tcW w:w="160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10% of NW</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Credit Risk</w:t>
            </w:r>
          </w:p>
        </w:tc>
        <w:tc>
          <w:tcPr>
            <w:tcW w:w="1140" w:type="dxa"/>
            <w:tcBorders>
              <w:top w:val="nil"/>
              <w:left w:val="nil"/>
              <w:bottom w:val="single" w:sz="4" w:space="0" w:color="auto"/>
              <w:right w:val="single" w:sz="4" w:space="0" w:color="auto"/>
            </w:tcBorders>
            <w:shd w:val="clear" w:color="auto" w:fill="auto"/>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MBL Policy</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Apr-12</w:t>
            </w:r>
          </w:p>
        </w:tc>
      </w:tr>
      <w:tr w:rsidR="00276324" w:rsidRPr="00276324" w:rsidTr="00276324">
        <w:trPr>
          <w:trHeight w:val="525"/>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Maximum Loan Amount to One Member or Group</w:t>
            </w:r>
          </w:p>
        </w:tc>
        <w:tc>
          <w:tcPr>
            <w:tcW w:w="160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2.25% of NW</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Credit Risk</w:t>
            </w:r>
          </w:p>
        </w:tc>
        <w:tc>
          <w:tcPr>
            <w:tcW w:w="1140" w:type="dxa"/>
            <w:tcBorders>
              <w:top w:val="nil"/>
              <w:left w:val="nil"/>
              <w:bottom w:val="single" w:sz="4" w:space="0" w:color="auto"/>
              <w:right w:val="single" w:sz="4" w:space="0" w:color="auto"/>
            </w:tcBorders>
            <w:shd w:val="clear" w:color="auto" w:fill="auto"/>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MBL Policy</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Apr-12</w:t>
            </w:r>
          </w:p>
        </w:tc>
      </w:tr>
      <w:tr w:rsidR="00276324" w:rsidRPr="00276324" w:rsidTr="00276324">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rPr>
            </w:pPr>
            <w:r w:rsidRPr="00276324">
              <w:rPr>
                <w:rFonts w:ascii="Calibri" w:eastAsia="Times New Roman" w:hAnsi="Calibri"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r>
      <w:tr w:rsidR="00276324" w:rsidRPr="00276324" w:rsidTr="00276324">
        <w:trPr>
          <w:trHeight w:val="405"/>
        </w:trPr>
        <w:tc>
          <w:tcPr>
            <w:tcW w:w="2920" w:type="dxa"/>
            <w:tcBorders>
              <w:top w:val="nil"/>
              <w:left w:val="single" w:sz="4" w:space="0" w:color="auto"/>
              <w:bottom w:val="single" w:sz="4" w:space="0" w:color="auto"/>
              <w:right w:val="single" w:sz="4" w:space="0" w:color="auto"/>
            </w:tcBorders>
            <w:shd w:val="clear" w:color="000000" w:fill="BFBFBF"/>
            <w:noWrap/>
            <w:vAlign w:val="bottom"/>
            <w:hideMark/>
          </w:tcPr>
          <w:p w:rsidR="00276324" w:rsidRPr="00276324" w:rsidRDefault="00276324" w:rsidP="00276324">
            <w:pPr>
              <w:rPr>
                <w:rFonts w:ascii="Calibri" w:eastAsia="Times New Roman" w:hAnsi="Calibri" w:cs="Times New Roman"/>
                <w:b/>
                <w:bCs/>
                <w:color w:val="000000"/>
              </w:rPr>
            </w:pPr>
            <w:r w:rsidRPr="00276324">
              <w:rPr>
                <w:rFonts w:ascii="Calibri" w:eastAsia="Times New Roman" w:hAnsi="Calibri" w:cs="Times New Roman"/>
                <w:b/>
                <w:bCs/>
                <w:color w:val="000000"/>
              </w:rPr>
              <w:t>Investments</w:t>
            </w:r>
          </w:p>
        </w:tc>
        <w:tc>
          <w:tcPr>
            <w:tcW w:w="1600" w:type="dxa"/>
            <w:tcBorders>
              <w:top w:val="nil"/>
              <w:left w:val="nil"/>
              <w:bottom w:val="single" w:sz="4" w:space="0" w:color="auto"/>
              <w:right w:val="single" w:sz="4" w:space="0" w:color="auto"/>
            </w:tcBorders>
            <w:shd w:val="clear" w:color="000000" w:fill="BFBFBF"/>
            <w:noWrap/>
            <w:vAlign w:val="bottom"/>
            <w:hideMark/>
          </w:tcPr>
          <w:p w:rsidR="00276324" w:rsidRPr="00276324" w:rsidRDefault="00276324" w:rsidP="00276324">
            <w:pPr>
              <w:jc w:val="right"/>
              <w:rPr>
                <w:rFonts w:ascii="Calibri" w:eastAsia="Times New Roman" w:hAnsi="Calibri" w:cs="Times New Roman"/>
                <w:color w:val="000000"/>
              </w:rPr>
            </w:pPr>
            <w:r w:rsidRPr="00276324">
              <w:rPr>
                <w:rFonts w:ascii="Calibri" w:eastAsia="Times New Roman" w:hAnsi="Calibri" w:cs="Times New Roman"/>
                <w:color w:val="000000"/>
              </w:rPr>
              <w:t> </w:t>
            </w:r>
          </w:p>
        </w:tc>
        <w:tc>
          <w:tcPr>
            <w:tcW w:w="1060" w:type="dxa"/>
            <w:tcBorders>
              <w:top w:val="nil"/>
              <w:left w:val="nil"/>
              <w:bottom w:val="single" w:sz="4" w:space="0" w:color="auto"/>
              <w:right w:val="single" w:sz="4" w:space="0" w:color="auto"/>
            </w:tcBorders>
            <w:shd w:val="clear" w:color="000000" w:fill="BFBFBF"/>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140" w:type="dxa"/>
            <w:tcBorders>
              <w:top w:val="nil"/>
              <w:left w:val="nil"/>
              <w:bottom w:val="single" w:sz="4" w:space="0" w:color="auto"/>
              <w:right w:val="single" w:sz="4" w:space="0" w:color="auto"/>
            </w:tcBorders>
            <w:shd w:val="clear" w:color="000000" w:fill="BFBFBF"/>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420" w:type="dxa"/>
            <w:tcBorders>
              <w:top w:val="nil"/>
              <w:left w:val="nil"/>
              <w:bottom w:val="single" w:sz="4" w:space="0" w:color="auto"/>
              <w:right w:val="single" w:sz="4" w:space="0" w:color="auto"/>
            </w:tcBorders>
            <w:shd w:val="clear" w:color="000000" w:fill="BFBFBF"/>
            <w:noWrap/>
            <w:vAlign w:val="bottom"/>
            <w:hideMark/>
          </w:tcPr>
          <w:p w:rsidR="00276324" w:rsidRPr="00276324" w:rsidRDefault="00276324" w:rsidP="00276324">
            <w:pPr>
              <w:rPr>
                <w:rFonts w:ascii="Calibri" w:eastAsia="Times New Roman" w:hAnsi="Calibri" w:cs="Times New Roman"/>
                <w:color w:val="000000"/>
              </w:rPr>
            </w:pPr>
            <w:r w:rsidRPr="00276324">
              <w:rPr>
                <w:rFonts w:ascii="Calibri" w:eastAsia="Times New Roman" w:hAnsi="Calibri" w:cs="Times New Roman"/>
                <w:color w:val="000000"/>
              </w:rPr>
              <w:t> </w:t>
            </w:r>
          </w:p>
        </w:tc>
      </w:tr>
      <w:tr w:rsidR="00276324" w:rsidRPr="00276324" w:rsidTr="00276324">
        <w:trPr>
          <w:trHeight w:val="525"/>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WAL more than 84 months at time of purchase</w:t>
            </w:r>
          </w:p>
        </w:tc>
        <w:tc>
          <w:tcPr>
            <w:tcW w:w="1600" w:type="dxa"/>
            <w:tcBorders>
              <w:top w:val="nil"/>
              <w:left w:val="nil"/>
              <w:bottom w:val="single" w:sz="4" w:space="0" w:color="auto"/>
              <w:right w:val="single" w:sz="4" w:space="0" w:color="auto"/>
            </w:tcBorders>
            <w:shd w:val="clear" w:color="auto" w:fill="auto"/>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20% of por</w:t>
            </w:r>
            <w:r w:rsidR="00DE7E9B">
              <w:rPr>
                <w:rFonts w:ascii="Calibri" w:eastAsia="Times New Roman" w:hAnsi="Calibri" w:cs="Times New Roman"/>
                <w:color w:val="000000"/>
                <w:sz w:val="20"/>
                <w:szCs w:val="20"/>
              </w:rPr>
              <w:t>t</w:t>
            </w:r>
            <w:r w:rsidRPr="00276324">
              <w:rPr>
                <w:rFonts w:ascii="Calibri" w:eastAsia="Times New Roman" w:hAnsi="Calibri" w:cs="Times New Roman"/>
                <w:color w:val="000000"/>
                <w:sz w:val="20"/>
                <w:szCs w:val="20"/>
              </w:rPr>
              <w:t>folio</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IRR</w:t>
            </w:r>
          </w:p>
        </w:tc>
        <w:tc>
          <w:tcPr>
            <w:tcW w:w="1140" w:type="dxa"/>
            <w:tcBorders>
              <w:top w:val="nil"/>
              <w:left w:val="nil"/>
              <w:bottom w:val="single" w:sz="4" w:space="0" w:color="auto"/>
              <w:right w:val="single" w:sz="4" w:space="0" w:color="auto"/>
            </w:tcBorders>
            <w:shd w:val="clear" w:color="auto" w:fill="auto"/>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Investment Policy</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Apr-12</w:t>
            </w:r>
          </w:p>
        </w:tc>
      </w:tr>
      <w:tr w:rsidR="00276324" w:rsidRPr="00276324" w:rsidTr="00276324">
        <w:trPr>
          <w:trHeight w:val="525"/>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FV decline more than 17% at time of</w:t>
            </w:r>
            <w:r w:rsidR="002B224B">
              <w:rPr>
                <w:rFonts w:ascii="Calibri" w:eastAsia="Times New Roman" w:hAnsi="Calibri" w:cs="Times New Roman"/>
                <w:color w:val="000000"/>
                <w:sz w:val="20"/>
                <w:szCs w:val="20"/>
              </w:rPr>
              <w:t xml:space="preserve"> </w:t>
            </w:r>
            <w:r w:rsidRPr="00276324">
              <w:rPr>
                <w:rFonts w:ascii="Calibri" w:eastAsia="Times New Roman" w:hAnsi="Calibri" w:cs="Times New Roman"/>
                <w:color w:val="000000"/>
                <w:sz w:val="20"/>
                <w:szCs w:val="20"/>
              </w:rPr>
              <w:t>purchase</w:t>
            </w:r>
          </w:p>
        </w:tc>
        <w:tc>
          <w:tcPr>
            <w:tcW w:w="160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20% of portfolio</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IRR</w:t>
            </w:r>
          </w:p>
        </w:tc>
        <w:tc>
          <w:tcPr>
            <w:tcW w:w="1140" w:type="dxa"/>
            <w:tcBorders>
              <w:top w:val="nil"/>
              <w:left w:val="nil"/>
              <w:bottom w:val="single" w:sz="4" w:space="0" w:color="auto"/>
              <w:right w:val="single" w:sz="4" w:space="0" w:color="auto"/>
            </w:tcBorders>
            <w:shd w:val="clear" w:color="auto" w:fill="auto"/>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Investment Policy</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Apr-12</w:t>
            </w:r>
          </w:p>
        </w:tc>
      </w:tr>
      <w:tr w:rsidR="00276324" w:rsidRPr="00276324" w:rsidTr="00276324">
        <w:trPr>
          <w:trHeight w:val="78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lastRenderedPageBreak/>
              <w:t>Investments in any  federal agency</w:t>
            </w:r>
          </w:p>
        </w:tc>
        <w:tc>
          <w:tcPr>
            <w:tcW w:w="160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 xml:space="preserve">200% of NW </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Credit</w:t>
            </w:r>
          </w:p>
        </w:tc>
        <w:tc>
          <w:tcPr>
            <w:tcW w:w="1140" w:type="dxa"/>
            <w:tcBorders>
              <w:top w:val="nil"/>
              <w:left w:val="nil"/>
              <w:bottom w:val="single" w:sz="4" w:space="0" w:color="auto"/>
              <w:right w:val="single" w:sz="4" w:space="0" w:color="auto"/>
            </w:tcBorders>
            <w:shd w:val="clear" w:color="auto" w:fill="auto"/>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Investment Policy</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Apr-12</w:t>
            </w:r>
          </w:p>
        </w:tc>
      </w:tr>
      <w:tr w:rsidR="00276324" w:rsidRPr="00276324" w:rsidTr="00276324">
        <w:trPr>
          <w:trHeight w:val="52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Investment per CUSIP</w:t>
            </w:r>
          </w:p>
        </w:tc>
        <w:tc>
          <w:tcPr>
            <w:tcW w:w="160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20% of NW</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Credit</w:t>
            </w:r>
          </w:p>
        </w:tc>
        <w:tc>
          <w:tcPr>
            <w:tcW w:w="1140" w:type="dxa"/>
            <w:tcBorders>
              <w:top w:val="nil"/>
              <w:left w:val="nil"/>
              <w:bottom w:val="single" w:sz="4" w:space="0" w:color="auto"/>
              <w:right w:val="single" w:sz="4" w:space="0" w:color="auto"/>
            </w:tcBorders>
            <w:shd w:val="clear" w:color="auto" w:fill="auto"/>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Investment Policy</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Apr-12</w:t>
            </w:r>
          </w:p>
        </w:tc>
      </w:tr>
      <w:tr w:rsidR="00276324" w:rsidRPr="00276324" w:rsidTr="00276324">
        <w:trPr>
          <w:trHeight w:val="52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FHLB Investments per issuance</w:t>
            </w:r>
          </w:p>
        </w:tc>
        <w:tc>
          <w:tcPr>
            <w:tcW w:w="160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20% of NW</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Credit</w:t>
            </w:r>
          </w:p>
        </w:tc>
        <w:tc>
          <w:tcPr>
            <w:tcW w:w="1140" w:type="dxa"/>
            <w:tcBorders>
              <w:top w:val="nil"/>
              <w:left w:val="nil"/>
              <w:bottom w:val="single" w:sz="4" w:space="0" w:color="auto"/>
              <w:right w:val="single" w:sz="4" w:space="0" w:color="auto"/>
            </w:tcBorders>
            <w:shd w:val="clear" w:color="auto" w:fill="auto"/>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Investment Policy</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Apr-12</w:t>
            </w:r>
          </w:p>
        </w:tc>
      </w:tr>
      <w:tr w:rsidR="00276324" w:rsidRPr="00276324" w:rsidTr="00276324">
        <w:trPr>
          <w:trHeight w:val="52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Mutual Fund</w:t>
            </w:r>
          </w:p>
        </w:tc>
        <w:tc>
          <w:tcPr>
            <w:tcW w:w="160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10% of NW</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Credit</w:t>
            </w:r>
          </w:p>
        </w:tc>
        <w:tc>
          <w:tcPr>
            <w:tcW w:w="1140" w:type="dxa"/>
            <w:tcBorders>
              <w:top w:val="nil"/>
              <w:left w:val="nil"/>
              <w:bottom w:val="single" w:sz="4" w:space="0" w:color="auto"/>
              <w:right w:val="single" w:sz="4" w:space="0" w:color="auto"/>
            </w:tcBorders>
            <w:shd w:val="clear" w:color="auto" w:fill="auto"/>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Investment Policy</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Apr-12</w:t>
            </w:r>
          </w:p>
        </w:tc>
      </w:tr>
      <w:tr w:rsidR="00276324" w:rsidRPr="00276324" w:rsidTr="00D77D8C">
        <w:trPr>
          <w:trHeight w:val="52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CCU</w:t>
            </w:r>
          </w:p>
        </w:tc>
        <w:tc>
          <w:tcPr>
            <w:tcW w:w="160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 xml:space="preserve">200% of NW </w:t>
            </w:r>
          </w:p>
        </w:tc>
        <w:tc>
          <w:tcPr>
            <w:tcW w:w="106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Credit</w:t>
            </w:r>
          </w:p>
        </w:tc>
        <w:tc>
          <w:tcPr>
            <w:tcW w:w="1140" w:type="dxa"/>
            <w:tcBorders>
              <w:top w:val="nil"/>
              <w:left w:val="nil"/>
              <w:bottom w:val="single" w:sz="4" w:space="0" w:color="auto"/>
              <w:right w:val="single" w:sz="4" w:space="0" w:color="auto"/>
            </w:tcBorders>
            <w:shd w:val="clear" w:color="auto" w:fill="auto"/>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Investment Policy</w:t>
            </w:r>
          </w:p>
        </w:tc>
        <w:tc>
          <w:tcPr>
            <w:tcW w:w="1420" w:type="dxa"/>
            <w:tcBorders>
              <w:top w:val="nil"/>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Apr-12</w:t>
            </w:r>
          </w:p>
        </w:tc>
      </w:tr>
      <w:tr w:rsidR="00276324" w:rsidRPr="00276324" w:rsidTr="00D77D8C">
        <w:trPr>
          <w:trHeight w:val="52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7D8C" w:rsidRDefault="00D77D8C" w:rsidP="00276324">
            <w:pPr>
              <w:rPr>
                <w:rFonts w:ascii="Calibri" w:eastAsia="Times New Roman" w:hAnsi="Calibri" w:cs="Times New Roman"/>
                <w:color w:val="000000"/>
                <w:sz w:val="20"/>
                <w:szCs w:val="20"/>
              </w:rPr>
            </w:pPr>
          </w:p>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CDs and operating accounts</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Max uninsured 5% of NW</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Credit</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276324" w:rsidRPr="00276324" w:rsidRDefault="00276324" w:rsidP="00276324">
            <w:pPr>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Investment Policy</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276324" w:rsidRPr="00276324" w:rsidRDefault="00276324" w:rsidP="00276324">
            <w:pPr>
              <w:jc w:val="right"/>
              <w:rPr>
                <w:rFonts w:ascii="Calibri" w:eastAsia="Times New Roman" w:hAnsi="Calibri" w:cs="Times New Roman"/>
                <w:color w:val="000000"/>
                <w:sz w:val="20"/>
                <w:szCs w:val="20"/>
              </w:rPr>
            </w:pPr>
            <w:r w:rsidRPr="00276324">
              <w:rPr>
                <w:rFonts w:ascii="Calibri" w:eastAsia="Times New Roman" w:hAnsi="Calibri" w:cs="Times New Roman"/>
                <w:color w:val="000000"/>
                <w:sz w:val="20"/>
                <w:szCs w:val="20"/>
              </w:rPr>
              <w:t>Apr-12</w:t>
            </w:r>
          </w:p>
        </w:tc>
      </w:tr>
      <w:tr w:rsidR="00D77D8C" w:rsidRPr="00276324" w:rsidTr="00D77D8C">
        <w:trPr>
          <w:trHeight w:val="314"/>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7D8C" w:rsidRDefault="00D77D8C" w:rsidP="00276324">
            <w:pPr>
              <w:rPr>
                <w:rFonts w:ascii="Calibri" w:eastAsia="Times New Roman" w:hAnsi="Calibri" w:cs="Times New Roman"/>
                <w:color w:val="000000"/>
                <w:sz w:val="20"/>
                <w:szCs w:val="20"/>
              </w:rPr>
            </w:pP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D77D8C" w:rsidRPr="00276324" w:rsidRDefault="00D77D8C" w:rsidP="00276324">
            <w:pPr>
              <w:jc w:val="right"/>
              <w:rPr>
                <w:rFonts w:ascii="Calibri" w:eastAsia="Times New Roman" w:hAnsi="Calibri" w:cs="Times New Roman"/>
                <w:color w:val="000000"/>
                <w:sz w:val="20"/>
                <w:szCs w:val="20"/>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77D8C" w:rsidRPr="00276324" w:rsidRDefault="00D77D8C" w:rsidP="00276324">
            <w:pPr>
              <w:rPr>
                <w:rFonts w:ascii="Calibri" w:eastAsia="Times New Roman" w:hAnsi="Calibri" w:cs="Times New Roman"/>
                <w:color w:val="000000"/>
                <w:sz w:val="20"/>
                <w:szCs w:val="20"/>
              </w:rPr>
            </w:pP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D77D8C" w:rsidRPr="00276324" w:rsidRDefault="00D77D8C" w:rsidP="00276324">
            <w:pPr>
              <w:rPr>
                <w:rFonts w:ascii="Calibri" w:eastAsia="Times New Roman" w:hAnsi="Calibri" w:cs="Times New Roman"/>
                <w:color w:val="000000"/>
                <w:sz w:val="20"/>
                <w:szCs w:val="20"/>
              </w:rPr>
            </w:pP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D77D8C" w:rsidRPr="00276324" w:rsidRDefault="00D77D8C" w:rsidP="00276324">
            <w:pPr>
              <w:jc w:val="right"/>
              <w:rPr>
                <w:rFonts w:ascii="Calibri" w:eastAsia="Times New Roman" w:hAnsi="Calibri" w:cs="Times New Roman"/>
                <w:color w:val="000000"/>
                <w:sz w:val="20"/>
                <w:szCs w:val="20"/>
              </w:rPr>
            </w:pPr>
          </w:p>
        </w:tc>
      </w:tr>
      <w:tr w:rsidR="00D77D8C" w:rsidRPr="00276324" w:rsidTr="00D77D8C">
        <w:trPr>
          <w:trHeight w:val="525"/>
        </w:trPr>
        <w:tc>
          <w:tcPr>
            <w:tcW w:w="292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D77D8C" w:rsidRPr="00276324" w:rsidRDefault="00D77D8C" w:rsidP="00D77D8C">
            <w:pPr>
              <w:rPr>
                <w:rFonts w:ascii="Calibri" w:eastAsia="Times New Roman" w:hAnsi="Calibri" w:cs="Times New Roman"/>
                <w:b/>
                <w:bCs/>
                <w:color w:val="000000"/>
              </w:rPr>
            </w:pPr>
            <w:r>
              <w:rPr>
                <w:rFonts w:ascii="Calibri" w:eastAsia="Times New Roman" w:hAnsi="Calibri" w:cs="Times New Roman"/>
                <w:b/>
                <w:bCs/>
                <w:color w:val="000000"/>
              </w:rPr>
              <w:t>Total Real Estate Products</w:t>
            </w:r>
          </w:p>
        </w:tc>
        <w:tc>
          <w:tcPr>
            <w:tcW w:w="1600"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D77D8C" w:rsidRPr="00276324" w:rsidRDefault="00D77D8C" w:rsidP="00D77D8C">
            <w:pPr>
              <w:jc w:val="right"/>
              <w:rPr>
                <w:rFonts w:ascii="Calibri" w:eastAsia="Times New Roman" w:hAnsi="Calibri" w:cs="Times New Roman"/>
                <w:color w:val="000000"/>
              </w:rPr>
            </w:pPr>
            <w:r w:rsidRPr="00276324">
              <w:rPr>
                <w:rFonts w:ascii="Calibri" w:eastAsia="Times New Roman" w:hAnsi="Calibri" w:cs="Times New Roman"/>
                <w:color w:val="000000"/>
              </w:rPr>
              <w:t> </w:t>
            </w:r>
          </w:p>
        </w:tc>
        <w:tc>
          <w:tcPr>
            <w:tcW w:w="1060"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D77D8C" w:rsidRPr="00276324" w:rsidRDefault="00D77D8C" w:rsidP="00D77D8C">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140"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rsidR="00D77D8C" w:rsidRPr="00276324" w:rsidRDefault="00D77D8C" w:rsidP="00D77D8C">
            <w:pPr>
              <w:rPr>
                <w:rFonts w:ascii="Calibri" w:eastAsia="Times New Roman" w:hAnsi="Calibri" w:cs="Times New Roman"/>
                <w:color w:val="000000"/>
              </w:rPr>
            </w:pPr>
            <w:r w:rsidRPr="00276324">
              <w:rPr>
                <w:rFonts w:ascii="Calibri" w:eastAsia="Times New Roman" w:hAnsi="Calibri" w:cs="Times New Roman"/>
                <w:color w:val="000000"/>
              </w:rPr>
              <w:t> </w:t>
            </w:r>
          </w:p>
        </w:tc>
        <w:tc>
          <w:tcPr>
            <w:tcW w:w="1420"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D77D8C" w:rsidRPr="00276324" w:rsidRDefault="00D77D8C" w:rsidP="00D77D8C">
            <w:pPr>
              <w:rPr>
                <w:rFonts w:ascii="Calibri" w:eastAsia="Times New Roman" w:hAnsi="Calibri" w:cs="Times New Roman"/>
                <w:color w:val="000000"/>
              </w:rPr>
            </w:pPr>
            <w:r w:rsidRPr="00276324">
              <w:rPr>
                <w:rFonts w:ascii="Calibri" w:eastAsia="Times New Roman" w:hAnsi="Calibri" w:cs="Times New Roman"/>
                <w:color w:val="000000"/>
              </w:rPr>
              <w:t> </w:t>
            </w:r>
          </w:p>
        </w:tc>
      </w:tr>
      <w:tr w:rsidR="00D77D8C" w:rsidRPr="00276324" w:rsidTr="00D77D8C">
        <w:trPr>
          <w:trHeight w:val="629"/>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7D8C" w:rsidRDefault="00D77D8C" w:rsidP="0027632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Aggregate Balance of RE loans and RE related Investments</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D77D8C" w:rsidRPr="00276324" w:rsidRDefault="00D77D8C" w:rsidP="0027632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NTE</w:t>
            </w:r>
            <w:r w:rsidR="009A2C2B">
              <w:rPr>
                <w:rFonts w:ascii="Calibri" w:eastAsia="Times New Roman" w:hAnsi="Calibri" w:cs="Times New Roman"/>
                <w:color w:val="000000"/>
                <w:sz w:val="20"/>
                <w:szCs w:val="20"/>
              </w:rPr>
              <w:t xml:space="preserve"> 650%of NW</w:t>
            </w:r>
            <w:r>
              <w:rPr>
                <w:rFonts w:ascii="Calibri" w:eastAsia="Times New Roman" w:hAnsi="Calibri" w:cs="Times New Roman"/>
                <w:color w:val="000000"/>
                <w:sz w:val="20"/>
                <w:szCs w:val="20"/>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77D8C" w:rsidRPr="00276324" w:rsidRDefault="00D77D8C" w:rsidP="00276324">
            <w:pPr>
              <w:rPr>
                <w:rFonts w:ascii="Calibri" w:eastAsia="Times New Roman" w:hAnsi="Calibri" w:cs="Times New Roman"/>
                <w:color w:val="000000"/>
                <w:sz w:val="20"/>
                <w:szCs w:val="20"/>
              </w:rPr>
            </w:pP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D77D8C" w:rsidRPr="00276324" w:rsidRDefault="00D77D8C" w:rsidP="00276324">
            <w:pPr>
              <w:rPr>
                <w:rFonts w:ascii="Calibri" w:eastAsia="Times New Roman" w:hAnsi="Calibri" w:cs="Times New Roman"/>
                <w:color w:val="000000"/>
                <w:sz w:val="20"/>
                <w:szCs w:val="20"/>
              </w:rPr>
            </w:pP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D77D8C" w:rsidRDefault="00D77D8C" w:rsidP="0027632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July- 12</w:t>
            </w:r>
          </w:p>
          <w:p w:rsidR="00D77D8C" w:rsidRPr="00276324" w:rsidRDefault="00D77D8C" w:rsidP="00D77D8C">
            <w:pPr>
              <w:jc w:val="center"/>
              <w:rPr>
                <w:rFonts w:ascii="Calibri" w:eastAsia="Times New Roman" w:hAnsi="Calibri" w:cs="Times New Roman"/>
                <w:color w:val="000000"/>
                <w:sz w:val="20"/>
                <w:szCs w:val="20"/>
              </w:rPr>
            </w:pPr>
          </w:p>
        </w:tc>
      </w:tr>
    </w:tbl>
    <w:p w:rsidR="002D07F2" w:rsidRPr="002D07F2" w:rsidRDefault="002D07F2" w:rsidP="002D07F2">
      <w:pPr>
        <w:rPr>
          <w:sz w:val="28"/>
          <w:szCs w:val="28"/>
        </w:rPr>
      </w:pPr>
    </w:p>
    <w:sectPr w:rsidR="002D07F2" w:rsidRPr="002D07F2" w:rsidSect="008143B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16F" w:rsidRDefault="005D116F" w:rsidP="007E6D83">
      <w:r>
        <w:separator/>
      </w:r>
    </w:p>
  </w:endnote>
  <w:endnote w:type="continuationSeparator" w:id="0">
    <w:p w:rsidR="005D116F" w:rsidRDefault="005D116F" w:rsidP="007E6D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16F" w:rsidRDefault="005D116F" w:rsidP="007E6D83">
      <w:r>
        <w:separator/>
      </w:r>
    </w:p>
  </w:footnote>
  <w:footnote w:type="continuationSeparator" w:id="0">
    <w:p w:rsidR="005D116F" w:rsidRDefault="005D116F" w:rsidP="007E6D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424"/>
      <w:gridCol w:w="1152"/>
    </w:tblGrid>
    <w:tr w:rsidR="00D77D8C">
      <w:tc>
        <w:tcPr>
          <w:tcW w:w="0" w:type="auto"/>
          <w:tcBorders>
            <w:right w:val="single" w:sz="6" w:space="0" w:color="000000" w:themeColor="text1"/>
          </w:tcBorders>
        </w:tcPr>
        <w:sdt>
          <w:sdtPr>
            <w:alias w:val="Company"/>
            <w:id w:val="78735422"/>
            <w:placeholder>
              <w:docPart w:val="67C9B0A2BDFB420CAD79E6067B2AB849"/>
            </w:placeholder>
            <w:dataBinding w:prefixMappings="xmlns:ns0='http://schemas.openxmlformats.org/officeDocument/2006/extended-properties'" w:xpath="/ns0:Properties[1]/ns0:Company[1]" w:storeItemID="{6668398D-A668-4E3E-A5EB-62B293D839F1}"/>
            <w:text/>
          </w:sdtPr>
          <w:sdtContent>
            <w:p w:rsidR="00D77D8C" w:rsidRDefault="00D77D8C">
              <w:pPr>
                <w:pStyle w:val="Header"/>
                <w:jc w:val="right"/>
              </w:pPr>
              <w:r>
                <w:t>Adopted April 2012</w:t>
              </w:r>
            </w:p>
          </w:sdtContent>
        </w:sdt>
        <w:sdt>
          <w:sdtPr>
            <w:rPr>
              <w:b/>
              <w:bCs/>
            </w:rPr>
            <w:alias w:val="Title"/>
            <w:id w:val="78735415"/>
            <w:placeholder>
              <w:docPart w:val="5903D6AD59324CC7AEDD521FE20A3BCF"/>
            </w:placeholder>
            <w:dataBinding w:prefixMappings="xmlns:ns0='http://schemas.openxmlformats.org/package/2006/metadata/core-properties' xmlns:ns1='http://purl.org/dc/elements/1.1/'" w:xpath="/ns0:coreProperties[1]/ns1:title[1]" w:storeItemID="{6C3C8BC8-F283-45AE-878A-BAB7291924A1}"/>
            <w:text/>
          </w:sdtPr>
          <w:sdtContent>
            <w:p w:rsidR="00D77D8C" w:rsidRDefault="006517D9" w:rsidP="007E6D83">
              <w:pPr>
                <w:pStyle w:val="Header"/>
                <w:jc w:val="right"/>
                <w:rPr>
                  <w:b/>
                  <w:bCs/>
                </w:rPr>
              </w:pPr>
              <w:r>
                <w:rPr>
                  <w:b/>
                  <w:bCs/>
                </w:rPr>
                <w:t>Updated July 2012</w:t>
              </w:r>
            </w:p>
          </w:sdtContent>
        </w:sdt>
      </w:tc>
      <w:tc>
        <w:tcPr>
          <w:tcW w:w="1152" w:type="dxa"/>
          <w:tcBorders>
            <w:left w:val="single" w:sz="6" w:space="0" w:color="000000" w:themeColor="text1"/>
          </w:tcBorders>
        </w:tcPr>
        <w:p w:rsidR="00D77D8C" w:rsidRDefault="00A638F5">
          <w:pPr>
            <w:pStyle w:val="Header"/>
            <w:rPr>
              <w:b/>
            </w:rPr>
          </w:pPr>
          <w:fldSimple w:instr=" PAGE   \* MERGEFORMAT ">
            <w:r w:rsidR="006517D9">
              <w:rPr>
                <w:noProof/>
              </w:rPr>
              <w:t>5</w:t>
            </w:r>
          </w:fldSimple>
        </w:p>
      </w:tc>
    </w:tr>
  </w:tbl>
  <w:p w:rsidR="00D77D8C" w:rsidRDefault="00D77D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C159F"/>
    <w:multiLevelType w:val="hybridMultilevel"/>
    <w:tmpl w:val="7430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A92F5A"/>
    <w:multiLevelType w:val="hybridMultilevel"/>
    <w:tmpl w:val="B144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2D07F2"/>
    <w:rsid w:val="0004707B"/>
    <w:rsid w:val="00276324"/>
    <w:rsid w:val="002B224B"/>
    <w:rsid w:val="002D07F2"/>
    <w:rsid w:val="0030747E"/>
    <w:rsid w:val="0035207E"/>
    <w:rsid w:val="003801F7"/>
    <w:rsid w:val="003C37FE"/>
    <w:rsid w:val="0056347C"/>
    <w:rsid w:val="00571225"/>
    <w:rsid w:val="005D116F"/>
    <w:rsid w:val="006517D9"/>
    <w:rsid w:val="006B1F79"/>
    <w:rsid w:val="0078178B"/>
    <w:rsid w:val="00792424"/>
    <w:rsid w:val="007D362E"/>
    <w:rsid w:val="007E6D83"/>
    <w:rsid w:val="008143B6"/>
    <w:rsid w:val="008E0046"/>
    <w:rsid w:val="00945C72"/>
    <w:rsid w:val="009A2C2B"/>
    <w:rsid w:val="00A23857"/>
    <w:rsid w:val="00A638F5"/>
    <w:rsid w:val="00BC3309"/>
    <w:rsid w:val="00C61DE7"/>
    <w:rsid w:val="00D02F63"/>
    <w:rsid w:val="00D74C86"/>
    <w:rsid w:val="00D77D8C"/>
    <w:rsid w:val="00DE7E9B"/>
    <w:rsid w:val="00EF0D87"/>
    <w:rsid w:val="00EF2487"/>
    <w:rsid w:val="00F257D2"/>
    <w:rsid w:val="00F47CF5"/>
    <w:rsid w:val="00F57E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487"/>
    <w:pPr>
      <w:ind w:left="720"/>
      <w:contextualSpacing/>
    </w:pPr>
  </w:style>
  <w:style w:type="paragraph" w:styleId="Header">
    <w:name w:val="header"/>
    <w:basedOn w:val="Normal"/>
    <w:link w:val="HeaderChar"/>
    <w:uiPriority w:val="99"/>
    <w:unhideWhenUsed/>
    <w:rsid w:val="007E6D83"/>
    <w:pPr>
      <w:tabs>
        <w:tab w:val="center" w:pos="4680"/>
        <w:tab w:val="right" w:pos="9360"/>
      </w:tabs>
    </w:pPr>
  </w:style>
  <w:style w:type="character" w:customStyle="1" w:styleId="HeaderChar">
    <w:name w:val="Header Char"/>
    <w:basedOn w:val="DefaultParagraphFont"/>
    <w:link w:val="Header"/>
    <w:uiPriority w:val="99"/>
    <w:rsid w:val="007E6D83"/>
  </w:style>
  <w:style w:type="paragraph" w:styleId="Footer">
    <w:name w:val="footer"/>
    <w:basedOn w:val="Normal"/>
    <w:link w:val="FooterChar"/>
    <w:uiPriority w:val="99"/>
    <w:semiHidden/>
    <w:unhideWhenUsed/>
    <w:rsid w:val="007E6D83"/>
    <w:pPr>
      <w:tabs>
        <w:tab w:val="center" w:pos="4680"/>
        <w:tab w:val="right" w:pos="9360"/>
      </w:tabs>
    </w:pPr>
  </w:style>
  <w:style w:type="character" w:customStyle="1" w:styleId="FooterChar">
    <w:name w:val="Footer Char"/>
    <w:basedOn w:val="DefaultParagraphFont"/>
    <w:link w:val="Footer"/>
    <w:uiPriority w:val="99"/>
    <w:semiHidden/>
    <w:rsid w:val="007E6D83"/>
  </w:style>
  <w:style w:type="table" w:styleId="TableGrid">
    <w:name w:val="Table Grid"/>
    <w:basedOn w:val="TableNormal"/>
    <w:uiPriority w:val="1"/>
    <w:rsid w:val="007E6D83"/>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6D83"/>
    <w:rPr>
      <w:rFonts w:ascii="Tahoma" w:hAnsi="Tahoma" w:cs="Tahoma"/>
      <w:sz w:val="16"/>
      <w:szCs w:val="16"/>
    </w:rPr>
  </w:style>
  <w:style w:type="character" w:customStyle="1" w:styleId="BalloonTextChar">
    <w:name w:val="Balloon Text Char"/>
    <w:basedOn w:val="DefaultParagraphFont"/>
    <w:link w:val="BalloonText"/>
    <w:uiPriority w:val="99"/>
    <w:semiHidden/>
    <w:rsid w:val="007E6D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3138277">
      <w:bodyDiv w:val="1"/>
      <w:marLeft w:val="0"/>
      <w:marRight w:val="0"/>
      <w:marTop w:val="0"/>
      <w:marBottom w:val="0"/>
      <w:divBdr>
        <w:top w:val="none" w:sz="0" w:space="0" w:color="auto"/>
        <w:left w:val="none" w:sz="0" w:space="0" w:color="auto"/>
        <w:bottom w:val="none" w:sz="0" w:space="0" w:color="auto"/>
        <w:right w:val="none" w:sz="0" w:space="0" w:color="auto"/>
      </w:divBdr>
    </w:div>
    <w:div w:id="172976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7C9B0A2BDFB420CAD79E6067B2AB849"/>
        <w:category>
          <w:name w:val="General"/>
          <w:gallery w:val="placeholder"/>
        </w:category>
        <w:types>
          <w:type w:val="bbPlcHdr"/>
        </w:types>
        <w:behaviors>
          <w:behavior w:val="content"/>
        </w:behaviors>
        <w:guid w:val="{2B7CE238-26DF-4F76-9D70-F5E54F1598AE}"/>
      </w:docPartPr>
      <w:docPartBody>
        <w:p w:rsidR="00390064" w:rsidRDefault="00802BAF" w:rsidP="00802BAF">
          <w:pPr>
            <w:pStyle w:val="67C9B0A2BDFB420CAD79E6067B2AB849"/>
          </w:pPr>
          <w:r>
            <w:t>[Type the company name]</w:t>
          </w:r>
        </w:p>
      </w:docPartBody>
    </w:docPart>
    <w:docPart>
      <w:docPartPr>
        <w:name w:val="5903D6AD59324CC7AEDD521FE20A3BCF"/>
        <w:category>
          <w:name w:val="General"/>
          <w:gallery w:val="placeholder"/>
        </w:category>
        <w:types>
          <w:type w:val="bbPlcHdr"/>
        </w:types>
        <w:behaviors>
          <w:behavior w:val="content"/>
        </w:behaviors>
        <w:guid w:val="{083ACB53-2E03-4E64-8F0E-FC0F50DC6C00}"/>
      </w:docPartPr>
      <w:docPartBody>
        <w:p w:rsidR="00390064" w:rsidRDefault="00802BAF" w:rsidP="00802BAF">
          <w:pPr>
            <w:pStyle w:val="5903D6AD59324CC7AEDD521FE20A3BCF"/>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802BAF"/>
    <w:rsid w:val="000A7B63"/>
    <w:rsid w:val="00390064"/>
    <w:rsid w:val="00802BAF"/>
    <w:rsid w:val="00C70C4C"/>
    <w:rsid w:val="00F236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0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C9B0A2BDFB420CAD79E6067B2AB849">
    <w:name w:val="67C9B0A2BDFB420CAD79E6067B2AB849"/>
    <w:rsid w:val="00802BAF"/>
  </w:style>
  <w:style w:type="paragraph" w:customStyle="1" w:styleId="5903D6AD59324CC7AEDD521FE20A3BCF">
    <w:name w:val="5903D6AD59324CC7AEDD521FE20A3BCF"/>
    <w:rsid w:val="00802BA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Updated </vt:lpstr>
    </vt:vector>
  </TitlesOfParts>
  <Company>Adopted April 2012</Company>
  <LinksUpToDate>false</LinksUpToDate>
  <CharactersWithSpaces>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July 2012</dc:title>
  <dc:creator>tonya</dc:creator>
  <cp:lastModifiedBy>sarah</cp:lastModifiedBy>
  <cp:revision>3</cp:revision>
  <cp:lastPrinted>2012-07-18T17:59:00Z</cp:lastPrinted>
  <dcterms:created xsi:type="dcterms:W3CDTF">2012-07-18T18:20:00Z</dcterms:created>
  <dcterms:modified xsi:type="dcterms:W3CDTF">2012-07-18T18:21:00Z</dcterms:modified>
</cp:coreProperties>
</file>